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F77" w:rsidRPr="00D55FCF" w:rsidRDefault="00D27EAA" w:rsidP="00D55FCF">
      <w:pPr>
        <w:jc w:val="center"/>
        <w:rPr>
          <w:sz w:val="28"/>
          <w:szCs w:val="28"/>
        </w:rPr>
      </w:pPr>
      <w:r>
        <w:rPr>
          <w:noProof/>
          <w:sz w:val="28"/>
          <w:szCs w:val="28"/>
        </w:rPr>
        <w:drawing>
          <wp:inline distT="0" distB="0" distL="0" distR="0">
            <wp:extent cx="1065530" cy="858520"/>
            <wp:effectExtent l="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5530" cy="858520"/>
                    </a:xfrm>
                    <a:prstGeom prst="rect">
                      <a:avLst/>
                    </a:prstGeom>
                    <a:noFill/>
                    <a:ln>
                      <a:noFill/>
                    </a:ln>
                  </pic:spPr>
                </pic:pic>
              </a:graphicData>
            </a:graphic>
          </wp:inline>
        </w:drawing>
      </w:r>
    </w:p>
    <w:p w:rsidR="00664F77" w:rsidRDefault="00664F77" w:rsidP="001F4AB9">
      <w:pPr>
        <w:jc w:val="center"/>
        <w:rPr>
          <w:sz w:val="28"/>
          <w:szCs w:val="28"/>
          <w:u w:val="single"/>
        </w:rPr>
      </w:pPr>
      <w:r w:rsidRPr="00D55FCF">
        <w:rPr>
          <w:sz w:val="28"/>
          <w:szCs w:val="28"/>
          <w:u w:val="single"/>
        </w:rPr>
        <w:t>PUBBLICA AMMINISTRAZIONE E MERITOCRAZIA</w:t>
      </w:r>
    </w:p>
    <w:p w:rsidR="00664F77" w:rsidRPr="00D55FCF" w:rsidRDefault="00664F77" w:rsidP="001F4AB9">
      <w:pPr>
        <w:jc w:val="center"/>
        <w:rPr>
          <w:sz w:val="16"/>
          <w:szCs w:val="16"/>
          <w:u w:val="single"/>
        </w:rPr>
      </w:pPr>
    </w:p>
    <w:p w:rsidR="00664F77" w:rsidRPr="00D52887" w:rsidRDefault="00664F77" w:rsidP="001F4AB9">
      <w:pPr>
        <w:jc w:val="center"/>
        <w:rPr>
          <w:b/>
          <w:bCs/>
          <w:sz w:val="28"/>
          <w:szCs w:val="28"/>
        </w:rPr>
      </w:pPr>
      <w:r>
        <w:rPr>
          <w:b/>
          <w:bCs/>
          <w:sz w:val="28"/>
          <w:szCs w:val="28"/>
        </w:rPr>
        <w:t>Misurazione e v</w:t>
      </w:r>
      <w:r w:rsidRPr="00D52887">
        <w:rPr>
          <w:b/>
          <w:bCs/>
          <w:sz w:val="28"/>
          <w:szCs w:val="28"/>
        </w:rPr>
        <w:t xml:space="preserve">alutazione </w:t>
      </w:r>
      <w:r>
        <w:rPr>
          <w:b/>
          <w:bCs/>
          <w:sz w:val="28"/>
          <w:szCs w:val="28"/>
        </w:rPr>
        <w:t>d</w:t>
      </w:r>
      <w:r w:rsidRPr="00D52887">
        <w:rPr>
          <w:b/>
          <w:bCs/>
          <w:sz w:val="28"/>
          <w:szCs w:val="28"/>
        </w:rPr>
        <w:t>e</w:t>
      </w:r>
      <w:r>
        <w:rPr>
          <w:b/>
          <w:bCs/>
          <w:sz w:val="28"/>
          <w:szCs w:val="28"/>
        </w:rPr>
        <w:t>lla</w:t>
      </w:r>
      <w:r w:rsidRPr="00D52887">
        <w:rPr>
          <w:b/>
          <w:bCs/>
          <w:sz w:val="28"/>
          <w:szCs w:val="28"/>
        </w:rPr>
        <w:t xml:space="preserve"> performance nella Pubblica Amministrazione</w:t>
      </w:r>
    </w:p>
    <w:p w:rsidR="00664F77" w:rsidRPr="00D52887" w:rsidRDefault="00664F77" w:rsidP="001F4AB9">
      <w:pPr>
        <w:jc w:val="both"/>
        <w:rPr>
          <w:sz w:val="24"/>
          <w:szCs w:val="24"/>
        </w:rPr>
      </w:pPr>
    </w:p>
    <w:p w:rsidR="00664F77" w:rsidRPr="00D52887" w:rsidRDefault="00664F77" w:rsidP="001F4AB9">
      <w:pPr>
        <w:jc w:val="both"/>
        <w:rPr>
          <w:sz w:val="24"/>
          <w:szCs w:val="24"/>
        </w:rPr>
      </w:pPr>
      <w:r>
        <w:rPr>
          <w:sz w:val="24"/>
          <w:szCs w:val="24"/>
        </w:rPr>
        <w:t xml:space="preserve">La complessa struttura della pubblica amministrazione italiana ha più volte posto il problema di una sua riorganizzazione e razionalizzazione, </w:t>
      </w:r>
      <w:r w:rsidRPr="00D52887">
        <w:rPr>
          <w:sz w:val="24"/>
          <w:szCs w:val="24"/>
        </w:rPr>
        <w:t xml:space="preserve">sia per rispondere </w:t>
      </w:r>
      <w:r>
        <w:rPr>
          <w:sz w:val="24"/>
          <w:szCs w:val="24"/>
        </w:rPr>
        <w:t>ad</w:t>
      </w:r>
      <w:r w:rsidRPr="00D52887">
        <w:rPr>
          <w:sz w:val="24"/>
          <w:szCs w:val="24"/>
        </w:rPr>
        <w:t xml:space="preserve"> esigenze d</w:t>
      </w:r>
      <w:r>
        <w:rPr>
          <w:sz w:val="24"/>
          <w:szCs w:val="24"/>
        </w:rPr>
        <w:t xml:space="preserve">i ristrutturazione imposte da </w:t>
      </w:r>
      <w:r w:rsidRPr="00D52887">
        <w:rPr>
          <w:sz w:val="24"/>
          <w:szCs w:val="24"/>
        </w:rPr>
        <w:t>precarie condiz</w:t>
      </w:r>
      <w:r>
        <w:rPr>
          <w:sz w:val="24"/>
          <w:szCs w:val="24"/>
        </w:rPr>
        <w:t>i</w:t>
      </w:r>
      <w:r w:rsidRPr="00D52887">
        <w:rPr>
          <w:sz w:val="24"/>
          <w:szCs w:val="24"/>
        </w:rPr>
        <w:t xml:space="preserve">oni </w:t>
      </w:r>
      <w:r>
        <w:rPr>
          <w:sz w:val="24"/>
          <w:szCs w:val="24"/>
        </w:rPr>
        <w:t>finanziarie di</w:t>
      </w:r>
      <w:r w:rsidRPr="00D52887">
        <w:rPr>
          <w:sz w:val="24"/>
          <w:szCs w:val="24"/>
        </w:rPr>
        <w:t xml:space="preserve"> bilancio</w:t>
      </w:r>
      <w:r>
        <w:rPr>
          <w:sz w:val="24"/>
          <w:szCs w:val="24"/>
        </w:rPr>
        <w:t>, sia per accrescere l’</w:t>
      </w:r>
      <w:r w:rsidRPr="00D52887">
        <w:rPr>
          <w:sz w:val="24"/>
          <w:szCs w:val="24"/>
        </w:rPr>
        <w:t>efficienza del</w:t>
      </w:r>
      <w:r>
        <w:rPr>
          <w:sz w:val="24"/>
          <w:szCs w:val="24"/>
        </w:rPr>
        <w:t xml:space="preserve"> comparto pubblico</w:t>
      </w:r>
      <w:r w:rsidRPr="00D52887">
        <w:rPr>
          <w:sz w:val="24"/>
          <w:szCs w:val="24"/>
        </w:rPr>
        <w:t xml:space="preserve">, favorendo una migliore utilizzazione, formazione e sviluppo professionale delle risorse umane disponibili. </w:t>
      </w:r>
      <w:r>
        <w:rPr>
          <w:sz w:val="24"/>
          <w:szCs w:val="24"/>
        </w:rPr>
        <w:t xml:space="preserve">In </w:t>
      </w:r>
      <w:r w:rsidRPr="00D52887">
        <w:rPr>
          <w:sz w:val="24"/>
          <w:szCs w:val="24"/>
        </w:rPr>
        <w:t xml:space="preserve">questa ottica si sono mossi </w:t>
      </w:r>
      <w:r>
        <w:rPr>
          <w:sz w:val="24"/>
          <w:szCs w:val="24"/>
        </w:rPr>
        <w:t>in particolare</w:t>
      </w:r>
      <w:r w:rsidRPr="00D52887">
        <w:rPr>
          <w:sz w:val="24"/>
          <w:szCs w:val="24"/>
        </w:rPr>
        <w:t xml:space="preserve"> il D. Lgs. 29/1993 e il D. Lgs. 165/2001.</w:t>
      </w:r>
    </w:p>
    <w:p w:rsidR="00664F77" w:rsidRDefault="00664F77" w:rsidP="001F4AB9">
      <w:pPr>
        <w:jc w:val="both"/>
        <w:rPr>
          <w:sz w:val="24"/>
          <w:szCs w:val="24"/>
        </w:rPr>
      </w:pPr>
      <w:r>
        <w:rPr>
          <w:sz w:val="24"/>
          <w:szCs w:val="24"/>
        </w:rPr>
        <w:t xml:space="preserve">Più di recente, </w:t>
      </w:r>
      <w:r w:rsidRPr="00D52887">
        <w:rPr>
          <w:sz w:val="24"/>
          <w:szCs w:val="24"/>
        </w:rPr>
        <w:t>l’</w:t>
      </w:r>
      <w:r>
        <w:rPr>
          <w:sz w:val="24"/>
          <w:szCs w:val="24"/>
        </w:rPr>
        <w:t>opportunità</w:t>
      </w:r>
      <w:r w:rsidRPr="00D52887">
        <w:rPr>
          <w:sz w:val="24"/>
          <w:szCs w:val="24"/>
        </w:rPr>
        <w:t xml:space="preserve"> di sviluppare meccanismi meritocratici nella Pubblica Amministrazione e di reagire alla scarsa qualità dei servizi (la cd. “</w:t>
      </w:r>
      <w:r w:rsidRPr="00C40821">
        <w:rPr>
          <w:i/>
          <w:iCs/>
          <w:sz w:val="24"/>
          <w:szCs w:val="24"/>
        </w:rPr>
        <w:t>campagna antifannulloni</w:t>
      </w:r>
      <w:r w:rsidRPr="00D52887">
        <w:rPr>
          <w:sz w:val="24"/>
          <w:szCs w:val="24"/>
        </w:rPr>
        <w:t xml:space="preserve">” promossa da Renato Brunetta, </w:t>
      </w:r>
      <w:r>
        <w:rPr>
          <w:sz w:val="24"/>
          <w:szCs w:val="24"/>
        </w:rPr>
        <w:t xml:space="preserve">già </w:t>
      </w:r>
      <w:r w:rsidRPr="00D52887">
        <w:rPr>
          <w:sz w:val="24"/>
          <w:szCs w:val="24"/>
        </w:rPr>
        <w:t>Ministro della Pubblica Amministrazione e Innovazione nel precedente governo Berlusconi), ha posto le basi per l’approvazione della L. 15/2009</w:t>
      </w:r>
      <w:r>
        <w:rPr>
          <w:sz w:val="24"/>
          <w:szCs w:val="24"/>
        </w:rPr>
        <w:t>, che ha conferito delega al Governo</w:t>
      </w:r>
      <w:r w:rsidRPr="00D52887">
        <w:rPr>
          <w:sz w:val="24"/>
          <w:szCs w:val="24"/>
        </w:rPr>
        <w:t xml:space="preserve"> per riformare la disciplina del rap</w:t>
      </w:r>
      <w:r>
        <w:rPr>
          <w:sz w:val="24"/>
          <w:szCs w:val="24"/>
        </w:rPr>
        <w:t>p</w:t>
      </w:r>
      <w:r w:rsidRPr="00D52887">
        <w:rPr>
          <w:sz w:val="24"/>
          <w:szCs w:val="24"/>
        </w:rPr>
        <w:t>orto di lavoro dei dipend</w:t>
      </w:r>
      <w:r>
        <w:rPr>
          <w:sz w:val="24"/>
          <w:szCs w:val="24"/>
        </w:rPr>
        <w:t xml:space="preserve">enti pubblici. Tale delega ha </w:t>
      </w:r>
      <w:r w:rsidRPr="00D52887">
        <w:rPr>
          <w:sz w:val="24"/>
          <w:szCs w:val="24"/>
        </w:rPr>
        <w:t>t</w:t>
      </w:r>
      <w:r>
        <w:rPr>
          <w:sz w:val="24"/>
          <w:szCs w:val="24"/>
        </w:rPr>
        <w:t>r</w:t>
      </w:r>
      <w:r w:rsidRPr="00D52887">
        <w:rPr>
          <w:sz w:val="24"/>
          <w:szCs w:val="24"/>
        </w:rPr>
        <w:t xml:space="preserve">ovato attuazione con il D. Lgs. 150/2009, recante la cd. </w:t>
      </w:r>
      <w:r w:rsidRPr="00597571">
        <w:rPr>
          <w:i/>
          <w:iCs/>
          <w:sz w:val="24"/>
          <w:szCs w:val="24"/>
        </w:rPr>
        <w:t>Riforma Brunetta</w:t>
      </w:r>
      <w:r w:rsidRPr="00D52887">
        <w:rPr>
          <w:sz w:val="24"/>
          <w:szCs w:val="24"/>
        </w:rPr>
        <w:t>,</w:t>
      </w:r>
      <w:r>
        <w:rPr>
          <w:sz w:val="24"/>
          <w:szCs w:val="24"/>
        </w:rPr>
        <w:t xml:space="preserve"> apparentemente </w:t>
      </w:r>
      <w:r w:rsidRPr="00D52887">
        <w:rPr>
          <w:sz w:val="24"/>
          <w:szCs w:val="24"/>
        </w:rPr>
        <w:t>imp</w:t>
      </w:r>
      <w:r>
        <w:rPr>
          <w:sz w:val="24"/>
          <w:szCs w:val="24"/>
        </w:rPr>
        <w:t>erniata sullo sviluppo auspicato di una vera</w:t>
      </w:r>
      <w:r w:rsidRPr="00D52887">
        <w:rPr>
          <w:sz w:val="24"/>
          <w:szCs w:val="24"/>
        </w:rPr>
        <w:t xml:space="preserve"> e pro</w:t>
      </w:r>
      <w:r>
        <w:rPr>
          <w:sz w:val="24"/>
          <w:szCs w:val="24"/>
        </w:rPr>
        <w:t>pria cultura della val</w:t>
      </w:r>
      <w:r w:rsidRPr="00D52887">
        <w:rPr>
          <w:sz w:val="24"/>
          <w:szCs w:val="24"/>
        </w:rPr>
        <w:t>u</w:t>
      </w:r>
      <w:r>
        <w:rPr>
          <w:sz w:val="24"/>
          <w:szCs w:val="24"/>
        </w:rPr>
        <w:t>tazione, ma realmente sospinta da una forte dose di populismo politico-propagandistico che ne ha segnato tutto il percorso di divulgazione mediatica, distogliendo l’attenzione dell’opinione pubblica dalla realtà di inadeguatezza ed inapplicabilità dei meccanismi ivi contenuti, soprattutto alla luce del contesto socio-economico in cui la stessa è chiamata ad operare. Basti pensare alla costituzione ex-novo di ulteriori authority che, con lo scopo di promuovere la razionalizzazione delle risorse pubbliche attraverso meccanismi meritocratici, gravano totalmente sulle casse dello stato probabilmente con costi maggiori rispetto ai risparmi auspicati.</w:t>
      </w:r>
    </w:p>
    <w:p w:rsidR="00664F77" w:rsidRPr="00D52887" w:rsidRDefault="00664F77" w:rsidP="001F4AB9">
      <w:pPr>
        <w:jc w:val="both"/>
        <w:rPr>
          <w:sz w:val="24"/>
          <w:szCs w:val="24"/>
        </w:rPr>
      </w:pPr>
      <w:r w:rsidRPr="00D52887">
        <w:rPr>
          <w:sz w:val="24"/>
          <w:szCs w:val="24"/>
        </w:rPr>
        <w:t>La riforma afferma la centralità del concetto di meritocrazia, in ossequio al quale si pone una serie di obi</w:t>
      </w:r>
      <w:r>
        <w:rPr>
          <w:sz w:val="24"/>
          <w:szCs w:val="24"/>
        </w:rPr>
        <w:t xml:space="preserve">ettivi, tra cui vale la pena di </w:t>
      </w:r>
      <w:r w:rsidRPr="00D52887">
        <w:rPr>
          <w:sz w:val="24"/>
          <w:szCs w:val="24"/>
        </w:rPr>
        <w:t>ricordare:</w:t>
      </w:r>
    </w:p>
    <w:p w:rsidR="00664F77" w:rsidRPr="00D52887" w:rsidRDefault="00664F77" w:rsidP="00811584">
      <w:pPr>
        <w:pStyle w:val="Paragrafoelenco"/>
        <w:numPr>
          <w:ilvl w:val="0"/>
          <w:numId w:val="1"/>
        </w:numPr>
        <w:jc w:val="both"/>
        <w:rPr>
          <w:sz w:val="24"/>
          <w:szCs w:val="24"/>
        </w:rPr>
      </w:pPr>
      <w:r>
        <w:rPr>
          <w:sz w:val="24"/>
          <w:szCs w:val="24"/>
        </w:rPr>
        <w:t>r</w:t>
      </w:r>
      <w:r w:rsidRPr="00D52887">
        <w:rPr>
          <w:sz w:val="24"/>
          <w:szCs w:val="24"/>
        </w:rPr>
        <w:t>es</w:t>
      </w:r>
      <w:r>
        <w:rPr>
          <w:sz w:val="24"/>
          <w:szCs w:val="24"/>
        </w:rPr>
        <w:t>pons</w:t>
      </w:r>
      <w:r w:rsidRPr="00D52887">
        <w:rPr>
          <w:sz w:val="24"/>
          <w:szCs w:val="24"/>
        </w:rPr>
        <w:t>abilizza</w:t>
      </w:r>
      <w:r>
        <w:rPr>
          <w:sz w:val="24"/>
          <w:szCs w:val="24"/>
        </w:rPr>
        <w:t>re maggiormente</w:t>
      </w:r>
      <w:r w:rsidRPr="00D52887">
        <w:rPr>
          <w:sz w:val="24"/>
          <w:szCs w:val="24"/>
        </w:rPr>
        <w:t xml:space="preserve"> i dipendenti pubblici (</w:t>
      </w:r>
      <w:r>
        <w:rPr>
          <w:sz w:val="24"/>
          <w:szCs w:val="24"/>
        </w:rPr>
        <w:t xml:space="preserve">in primo luogo </w:t>
      </w:r>
      <w:r w:rsidRPr="00D52887">
        <w:rPr>
          <w:sz w:val="24"/>
          <w:szCs w:val="24"/>
        </w:rPr>
        <w:t>i dirigenti</w:t>
      </w:r>
      <w:r>
        <w:rPr>
          <w:sz w:val="24"/>
          <w:szCs w:val="24"/>
        </w:rPr>
        <w:t>, rafforzandone le prerogative datoriali</w:t>
      </w:r>
      <w:r w:rsidRPr="00D52887">
        <w:rPr>
          <w:sz w:val="24"/>
          <w:szCs w:val="24"/>
        </w:rPr>
        <w:t>);</w:t>
      </w:r>
    </w:p>
    <w:p w:rsidR="00664F77" w:rsidRPr="00D52887" w:rsidRDefault="00664F77" w:rsidP="00811584">
      <w:pPr>
        <w:pStyle w:val="Paragrafoelenco"/>
        <w:numPr>
          <w:ilvl w:val="0"/>
          <w:numId w:val="1"/>
        </w:numPr>
        <w:jc w:val="both"/>
        <w:rPr>
          <w:sz w:val="24"/>
          <w:szCs w:val="24"/>
        </w:rPr>
      </w:pPr>
      <w:r>
        <w:rPr>
          <w:sz w:val="24"/>
          <w:szCs w:val="24"/>
        </w:rPr>
        <w:t>i</w:t>
      </w:r>
      <w:r w:rsidRPr="00D52887">
        <w:rPr>
          <w:sz w:val="24"/>
          <w:szCs w:val="24"/>
        </w:rPr>
        <w:t>ncentivare migliori prestazioni;</w:t>
      </w:r>
    </w:p>
    <w:p w:rsidR="00664F77" w:rsidRPr="00D52887" w:rsidRDefault="00664F77" w:rsidP="00811584">
      <w:pPr>
        <w:pStyle w:val="Paragrafoelenco"/>
        <w:numPr>
          <w:ilvl w:val="0"/>
          <w:numId w:val="1"/>
        </w:numPr>
        <w:jc w:val="both"/>
        <w:rPr>
          <w:sz w:val="24"/>
          <w:szCs w:val="24"/>
        </w:rPr>
      </w:pPr>
      <w:r>
        <w:rPr>
          <w:sz w:val="24"/>
          <w:szCs w:val="24"/>
        </w:rPr>
        <w:t>a</w:t>
      </w:r>
      <w:r w:rsidRPr="00D52887">
        <w:rPr>
          <w:sz w:val="24"/>
          <w:szCs w:val="24"/>
        </w:rPr>
        <w:t xml:space="preserve">ffermare la selettività e la concorsualità nelle progressioni di carriera dei dipendenti; </w:t>
      </w:r>
    </w:p>
    <w:p w:rsidR="00664F77" w:rsidRPr="00D52887" w:rsidRDefault="00664F77" w:rsidP="00811584">
      <w:pPr>
        <w:pStyle w:val="Paragrafoelenco"/>
        <w:numPr>
          <w:ilvl w:val="0"/>
          <w:numId w:val="1"/>
        </w:numPr>
        <w:jc w:val="both"/>
        <w:rPr>
          <w:sz w:val="24"/>
          <w:szCs w:val="24"/>
        </w:rPr>
      </w:pPr>
      <w:r>
        <w:rPr>
          <w:sz w:val="24"/>
          <w:szCs w:val="24"/>
        </w:rPr>
        <w:t>c</w:t>
      </w:r>
      <w:r w:rsidRPr="00D52887">
        <w:rPr>
          <w:sz w:val="24"/>
          <w:szCs w:val="24"/>
        </w:rPr>
        <w:t>ontrastare la scarsa produttività e l’assenteismo;</w:t>
      </w:r>
    </w:p>
    <w:p w:rsidR="00664F77" w:rsidRPr="00D52887" w:rsidRDefault="00664F77" w:rsidP="00811584">
      <w:pPr>
        <w:pStyle w:val="Paragrafoelenco"/>
        <w:numPr>
          <w:ilvl w:val="0"/>
          <w:numId w:val="1"/>
        </w:numPr>
        <w:jc w:val="both"/>
        <w:rPr>
          <w:sz w:val="24"/>
          <w:szCs w:val="24"/>
        </w:rPr>
      </w:pPr>
      <w:r>
        <w:rPr>
          <w:sz w:val="24"/>
          <w:szCs w:val="24"/>
        </w:rPr>
        <w:lastRenderedPageBreak/>
        <w:t>a</w:t>
      </w:r>
      <w:r w:rsidRPr="00D52887">
        <w:rPr>
          <w:sz w:val="24"/>
          <w:szCs w:val="24"/>
        </w:rPr>
        <w:t xml:space="preserve">ssicurare la trasparenza dell’operato </w:t>
      </w:r>
      <w:r>
        <w:rPr>
          <w:sz w:val="24"/>
          <w:szCs w:val="24"/>
        </w:rPr>
        <w:t>delle amministrazioni pubbliche.</w:t>
      </w:r>
    </w:p>
    <w:p w:rsidR="00664F77" w:rsidRDefault="00664F77" w:rsidP="00B56CFB">
      <w:pPr>
        <w:jc w:val="both"/>
        <w:rPr>
          <w:sz w:val="24"/>
          <w:szCs w:val="24"/>
        </w:rPr>
      </w:pPr>
      <w:r>
        <w:rPr>
          <w:sz w:val="24"/>
          <w:szCs w:val="24"/>
        </w:rPr>
        <w:t>A tal fine il legislatore ha app</w:t>
      </w:r>
      <w:r w:rsidRPr="00D52887">
        <w:rPr>
          <w:sz w:val="24"/>
          <w:szCs w:val="24"/>
        </w:rPr>
        <w:t>rontato un sistem</w:t>
      </w:r>
      <w:r>
        <w:rPr>
          <w:sz w:val="24"/>
          <w:szCs w:val="24"/>
        </w:rPr>
        <w:t>a</w:t>
      </w:r>
      <w:r w:rsidRPr="00D52887">
        <w:rPr>
          <w:sz w:val="24"/>
          <w:szCs w:val="24"/>
        </w:rPr>
        <w:t xml:space="preserve"> glob</w:t>
      </w:r>
      <w:r>
        <w:rPr>
          <w:sz w:val="24"/>
          <w:szCs w:val="24"/>
        </w:rPr>
        <w:t>ale e articolato di misurazione e</w:t>
      </w:r>
      <w:r w:rsidRPr="00D52887">
        <w:rPr>
          <w:sz w:val="24"/>
          <w:szCs w:val="24"/>
        </w:rPr>
        <w:t xml:space="preserve"> valutazione della performance, che innova la </w:t>
      </w:r>
      <w:r>
        <w:rPr>
          <w:sz w:val="24"/>
          <w:szCs w:val="24"/>
        </w:rPr>
        <w:t>preesistente</w:t>
      </w:r>
      <w:r w:rsidRPr="00D52887">
        <w:rPr>
          <w:sz w:val="24"/>
          <w:szCs w:val="24"/>
        </w:rPr>
        <w:t xml:space="preserve"> disciplina </w:t>
      </w:r>
      <w:r>
        <w:rPr>
          <w:sz w:val="24"/>
          <w:szCs w:val="24"/>
        </w:rPr>
        <w:t>in materia di</w:t>
      </w:r>
      <w:r w:rsidRPr="00D52887">
        <w:rPr>
          <w:sz w:val="24"/>
          <w:szCs w:val="24"/>
        </w:rPr>
        <w:t xml:space="preserve"> valutazione del personale. </w:t>
      </w:r>
      <w:r>
        <w:rPr>
          <w:sz w:val="24"/>
          <w:szCs w:val="24"/>
        </w:rPr>
        <w:t xml:space="preserve">Il </w:t>
      </w:r>
      <w:r w:rsidRPr="00D52887">
        <w:rPr>
          <w:sz w:val="24"/>
          <w:szCs w:val="24"/>
        </w:rPr>
        <w:t>D. Lgs. 150/2009 enuncia il fondamentale principio secondo cui “ogni amministrazione pubblica è tenuta a misurare e valutare la performance con riferimento all’amministrazione nel suo complesso, alle unità organizzative o aree di responsabilità in cui si articola e ai sing</w:t>
      </w:r>
      <w:r>
        <w:rPr>
          <w:sz w:val="24"/>
          <w:szCs w:val="24"/>
        </w:rPr>
        <w:t>o</w:t>
      </w:r>
      <w:r w:rsidRPr="00D52887">
        <w:rPr>
          <w:sz w:val="24"/>
          <w:szCs w:val="24"/>
        </w:rPr>
        <w:t xml:space="preserve">li dipendenti”, secondo modalità conformi alle direttive impartite dalla </w:t>
      </w:r>
      <w:r w:rsidRPr="00597571">
        <w:rPr>
          <w:i/>
          <w:iCs/>
          <w:sz w:val="24"/>
          <w:szCs w:val="24"/>
        </w:rPr>
        <w:t>Commissione per la valutazione, la trasparenza e l’integrità delle amministrazioni pubbliche</w:t>
      </w:r>
      <w:r>
        <w:rPr>
          <w:sz w:val="24"/>
          <w:szCs w:val="24"/>
        </w:rPr>
        <w:t>(CIVIT)</w:t>
      </w:r>
      <w:r w:rsidR="00B85194">
        <w:rPr>
          <w:sz w:val="24"/>
          <w:szCs w:val="24"/>
        </w:rPr>
        <w:t xml:space="preserve">. </w:t>
      </w:r>
      <w:bookmarkStart w:id="0" w:name="_GoBack"/>
      <w:bookmarkEnd w:id="0"/>
      <w:r w:rsidR="00B85194">
        <w:rPr>
          <w:sz w:val="24"/>
          <w:szCs w:val="24"/>
        </w:rPr>
        <w:t>Organismo, quest’ultimo, di nuova istituzione</w:t>
      </w:r>
      <w:r w:rsidRPr="00D52887">
        <w:rPr>
          <w:sz w:val="24"/>
          <w:szCs w:val="24"/>
        </w:rPr>
        <w:t xml:space="preserve">, composto da esperti di elevata professionalità, anche estranei all’amministrazione, deputato a promuovere metodologie e adeguati standard valutativi. </w:t>
      </w:r>
      <w:r>
        <w:rPr>
          <w:sz w:val="24"/>
          <w:szCs w:val="24"/>
        </w:rPr>
        <w:t xml:space="preserve">Il Decreto pone le basi altresì per la creazione di un sistema globale e ben strutturato di gestione della performance, attraverso un ciclo – comprensivo di sei fasi, dalla definizione e assegnazione degli obiettivi da perseguire alla rendicontazione dei risultati agli organi di vertice politico e amministrativo delle singole amministrazioni, nonché ai competenti organi esterni, ai soggetti interessati, agli utenti e ai destinatari dei servizi – distribuito tra quattro attori: gli organi politici di vertice, la dirigenza, i nuovi Organismi indipendenti di valutazione (che prendono il posto dei vecchi Servizi di controllo interno nelle amministrazioni) e la Commissione per la valutazione, la trasparenza e l’integrità delle pubbliche amministrazioni, che svolge funzioni di coordinamento centrale in materia. </w:t>
      </w:r>
    </w:p>
    <w:p w:rsidR="00664F77" w:rsidRDefault="00664F77" w:rsidP="00B56CFB">
      <w:pPr>
        <w:jc w:val="both"/>
        <w:rPr>
          <w:sz w:val="24"/>
          <w:szCs w:val="24"/>
        </w:rPr>
      </w:pPr>
      <w:r>
        <w:rPr>
          <w:sz w:val="24"/>
          <w:szCs w:val="24"/>
        </w:rPr>
        <w:t>Il D</w:t>
      </w:r>
      <w:r w:rsidRPr="00D52887">
        <w:rPr>
          <w:sz w:val="24"/>
          <w:szCs w:val="24"/>
        </w:rPr>
        <w:t>ecreto precisa la natura delle a</w:t>
      </w:r>
      <w:r>
        <w:rPr>
          <w:sz w:val="24"/>
          <w:szCs w:val="24"/>
        </w:rPr>
        <w:t xml:space="preserve">ttribuzioni della CIVIT: </w:t>
      </w:r>
      <w:r w:rsidRPr="00D52887">
        <w:rPr>
          <w:sz w:val="24"/>
          <w:szCs w:val="24"/>
        </w:rPr>
        <w:t>indirizzare, coordinare e sovrintendere all’esercizio indipendente delle funzioni</w:t>
      </w:r>
      <w:r>
        <w:rPr>
          <w:sz w:val="24"/>
          <w:szCs w:val="24"/>
        </w:rPr>
        <w:t xml:space="preserve"> d</w:t>
      </w:r>
      <w:r w:rsidRPr="00D52887">
        <w:rPr>
          <w:sz w:val="24"/>
          <w:szCs w:val="24"/>
        </w:rPr>
        <w:t>i</w:t>
      </w:r>
      <w:r>
        <w:rPr>
          <w:sz w:val="24"/>
          <w:szCs w:val="24"/>
        </w:rPr>
        <w:t xml:space="preserve"> valutazione, </w:t>
      </w:r>
      <w:r w:rsidRPr="00D52887">
        <w:rPr>
          <w:sz w:val="24"/>
          <w:szCs w:val="24"/>
        </w:rPr>
        <w:t>garantire la trasparenz</w:t>
      </w:r>
      <w:r>
        <w:rPr>
          <w:sz w:val="24"/>
          <w:szCs w:val="24"/>
        </w:rPr>
        <w:t>a dei sistemi di valutazione,</w:t>
      </w:r>
      <w:r w:rsidRPr="00D52887">
        <w:rPr>
          <w:sz w:val="24"/>
          <w:szCs w:val="24"/>
        </w:rPr>
        <w:t xml:space="preserve"> assicurare la comparabilità e la visibilità degli indici di andamento gestionale. La Commissione, nello specifico, redige e fornisce all’ARAN, entro il 31 maggio di ciascun anno, la graduatoria di performance delle amministrazioni statali ed enti pubblici nazionali. In base a tale graduatoria, la contrattazione collettiva nazionale definisce le modalità di ripartizione delle risorse per la contrattazione decentrata, premiando le strutture più meritevoli.</w:t>
      </w:r>
    </w:p>
    <w:p w:rsidR="00664F77" w:rsidRPr="00D52887" w:rsidRDefault="00664F77" w:rsidP="00B56CFB">
      <w:pPr>
        <w:jc w:val="both"/>
        <w:rPr>
          <w:sz w:val="24"/>
          <w:szCs w:val="24"/>
        </w:rPr>
      </w:pPr>
      <w:r>
        <w:rPr>
          <w:sz w:val="24"/>
          <w:szCs w:val="24"/>
        </w:rPr>
        <w:t xml:space="preserve">Come già accennato, il Decreto prevede altresì l’istituzione, presso ogni amministrazione, degli </w:t>
      </w:r>
      <w:r w:rsidRPr="00BC5CDC">
        <w:rPr>
          <w:i/>
          <w:iCs/>
          <w:sz w:val="24"/>
          <w:szCs w:val="24"/>
        </w:rPr>
        <w:t>Organismi indipendenti di valutazione della performance</w:t>
      </w:r>
      <w:r>
        <w:rPr>
          <w:i/>
          <w:iCs/>
          <w:sz w:val="24"/>
          <w:szCs w:val="24"/>
        </w:rPr>
        <w:t xml:space="preserve"> </w:t>
      </w:r>
      <w:r w:rsidRPr="00D52887">
        <w:rPr>
          <w:sz w:val="24"/>
          <w:szCs w:val="24"/>
        </w:rPr>
        <w:t>(OIV), aventi come funzioni principali:</w:t>
      </w:r>
    </w:p>
    <w:p w:rsidR="00664F77" w:rsidRPr="00D52887" w:rsidRDefault="00664F77" w:rsidP="00285358">
      <w:pPr>
        <w:pStyle w:val="Paragrafoelenco"/>
        <w:numPr>
          <w:ilvl w:val="0"/>
          <w:numId w:val="1"/>
        </w:numPr>
        <w:jc w:val="both"/>
        <w:rPr>
          <w:sz w:val="24"/>
          <w:szCs w:val="24"/>
        </w:rPr>
      </w:pPr>
      <w:r>
        <w:rPr>
          <w:sz w:val="24"/>
          <w:szCs w:val="24"/>
        </w:rPr>
        <w:t>m</w:t>
      </w:r>
      <w:r w:rsidRPr="00D52887">
        <w:rPr>
          <w:sz w:val="24"/>
          <w:szCs w:val="24"/>
        </w:rPr>
        <w:t>onitorare il funzionamento complessivo del sistema della valutazione, della trasparenza e integrità dei controlli interni ed elaborare una relazione annuale sullo stato dello stesso;</w:t>
      </w:r>
    </w:p>
    <w:p w:rsidR="00664F77" w:rsidRPr="00D52887" w:rsidRDefault="00664F77" w:rsidP="00285358">
      <w:pPr>
        <w:pStyle w:val="Paragrafoelenco"/>
        <w:numPr>
          <w:ilvl w:val="0"/>
          <w:numId w:val="1"/>
        </w:numPr>
        <w:jc w:val="both"/>
        <w:rPr>
          <w:sz w:val="24"/>
          <w:szCs w:val="24"/>
        </w:rPr>
      </w:pPr>
      <w:r>
        <w:rPr>
          <w:sz w:val="24"/>
          <w:szCs w:val="24"/>
        </w:rPr>
        <w:t>e</w:t>
      </w:r>
      <w:r w:rsidRPr="00D52887">
        <w:rPr>
          <w:sz w:val="24"/>
          <w:szCs w:val="24"/>
        </w:rPr>
        <w:t>sercitare le at</w:t>
      </w:r>
      <w:r>
        <w:rPr>
          <w:sz w:val="24"/>
          <w:szCs w:val="24"/>
        </w:rPr>
        <w:t>tività di controllo strategico e</w:t>
      </w:r>
      <w:r w:rsidRPr="00D52887">
        <w:rPr>
          <w:sz w:val="24"/>
          <w:szCs w:val="24"/>
        </w:rPr>
        <w:t xml:space="preserve"> comuni</w:t>
      </w:r>
      <w:r>
        <w:rPr>
          <w:sz w:val="24"/>
          <w:szCs w:val="24"/>
        </w:rPr>
        <w:t>care tempestivamente event</w:t>
      </w:r>
      <w:r w:rsidRPr="00D52887">
        <w:rPr>
          <w:sz w:val="24"/>
          <w:szCs w:val="24"/>
        </w:rPr>
        <w:t>u</w:t>
      </w:r>
      <w:r>
        <w:rPr>
          <w:sz w:val="24"/>
          <w:szCs w:val="24"/>
        </w:rPr>
        <w:t>a</w:t>
      </w:r>
      <w:r w:rsidRPr="00D52887">
        <w:rPr>
          <w:sz w:val="24"/>
          <w:szCs w:val="24"/>
        </w:rPr>
        <w:t>li criticità ri</w:t>
      </w:r>
      <w:r>
        <w:rPr>
          <w:sz w:val="24"/>
          <w:szCs w:val="24"/>
        </w:rPr>
        <w:t>s</w:t>
      </w:r>
      <w:r w:rsidRPr="00D52887">
        <w:rPr>
          <w:sz w:val="24"/>
          <w:szCs w:val="24"/>
        </w:rPr>
        <w:t>contrate</w:t>
      </w:r>
      <w:r>
        <w:rPr>
          <w:sz w:val="24"/>
          <w:szCs w:val="24"/>
        </w:rPr>
        <w:t xml:space="preserve"> ai competenti organi interni di governo ed amministrazione nonché alla Corte dei Conti, all’Ispettorato per la funzione pubblica e alla CIVIT</w:t>
      </w:r>
      <w:r w:rsidRPr="00D52887">
        <w:rPr>
          <w:sz w:val="24"/>
          <w:szCs w:val="24"/>
        </w:rPr>
        <w:t>;</w:t>
      </w:r>
    </w:p>
    <w:p w:rsidR="00664F77" w:rsidRPr="00D52887" w:rsidRDefault="00664F77" w:rsidP="00285358">
      <w:pPr>
        <w:pStyle w:val="Paragrafoelenco"/>
        <w:numPr>
          <w:ilvl w:val="0"/>
          <w:numId w:val="1"/>
        </w:numPr>
        <w:jc w:val="both"/>
        <w:rPr>
          <w:sz w:val="24"/>
          <w:szCs w:val="24"/>
        </w:rPr>
      </w:pPr>
      <w:r>
        <w:rPr>
          <w:sz w:val="24"/>
          <w:szCs w:val="24"/>
        </w:rPr>
        <w:t>c</w:t>
      </w:r>
      <w:r w:rsidRPr="00D52887">
        <w:rPr>
          <w:sz w:val="24"/>
          <w:szCs w:val="24"/>
        </w:rPr>
        <w:t>ompilare una graduatoria delle valutazioni individuali del personale dirigenziale e non dirigenziale;</w:t>
      </w:r>
    </w:p>
    <w:p w:rsidR="00664F77" w:rsidRPr="00D52887" w:rsidRDefault="00664F77" w:rsidP="00285358">
      <w:pPr>
        <w:pStyle w:val="Paragrafoelenco"/>
        <w:numPr>
          <w:ilvl w:val="0"/>
          <w:numId w:val="1"/>
        </w:numPr>
        <w:jc w:val="both"/>
        <w:rPr>
          <w:sz w:val="24"/>
          <w:szCs w:val="24"/>
        </w:rPr>
      </w:pPr>
      <w:r>
        <w:rPr>
          <w:sz w:val="24"/>
          <w:szCs w:val="24"/>
        </w:rPr>
        <w:t>proporre</w:t>
      </w:r>
      <w:r w:rsidRPr="00D52887">
        <w:rPr>
          <w:sz w:val="24"/>
          <w:szCs w:val="24"/>
        </w:rPr>
        <w:t xml:space="preserve"> la valutazione annuale dei dirigenti di vertice e l’at</w:t>
      </w:r>
      <w:r>
        <w:rPr>
          <w:sz w:val="24"/>
          <w:szCs w:val="24"/>
        </w:rPr>
        <w:t>t</w:t>
      </w:r>
      <w:r w:rsidRPr="00D52887">
        <w:rPr>
          <w:sz w:val="24"/>
          <w:szCs w:val="24"/>
        </w:rPr>
        <w:t>ri</w:t>
      </w:r>
      <w:r>
        <w:rPr>
          <w:sz w:val="24"/>
          <w:szCs w:val="24"/>
        </w:rPr>
        <w:t>b</w:t>
      </w:r>
      <w:r w:rsidRPr="00D52887">
        <w:rPr>
          <w:sz w:val="24"/>
          <w:szCs w:val="24"/>
        </w:rPr>
        <w:t>uzione ad essi di premi;</w:t>
      </w:r>
    </w:p>
    <w:p w:rsidR="00664F77" w:rsidRPr="00D52887" w:rsidRDefault="00664F77" w:rsidP="00285358">
      <w:pPr>
        <w:pStyle w:val="Paragrafoelenco"/>
        <w:numPr>
          <w:ilvl w:val="0"/>
          <w:numId w:val="1"/>
        </w:numPr>
        <w:jc w:val="both"/>
        <w:rPr>
          <w:sz w:val="24"/>
          <w:szCs w:val="24"/>
        </w:rPr>
      </w:pPr>
      <w:r>
        <w:rPr>
          <w:sz w:val="24"/>
          <w:szCs w:val="24"/>
        </w:rPr>
        <w:t>p</w:t>
      </w:r>
      <w:r w:rsidRPr="00D52887">
        <w:rPr>
          <w:sz w:val="24"/>
          <w:szCs w:val="24"/>
        </w:rPr>
        <w:t>romuovere e attestare l’assolvimento degli obblighi relativi alla trasparenza e all’integrità.</w:t>
      </w:r>
    </w:p>
    <w:p w:rsidR="00664F77" w:rsidRPr="00D52887" w:rsidRDefault="00664F77" w:rsidP="00C40A8C">
      <w:pPr>
        <w:jc w:val="both"/>
        <w:rPr>
          <w:sz w:val="24"/>
          <w:szCs w:val="24"/>
        </w:rPr>
      </w:pPr>
      <w:r>
        <w:rPr>
          <w:sz w:val="24"/>
          <w:szCs w:val="24"/>
        </w:rPr>
        <w:lastRenderedPageBreak/>
        <w:t>L</w:t>
      </w:r>
      <w:r w:rsidRPr="00D52887">
        <w:rPr>
          <w:sz w:val="24"/>
          <w:szCs w:val="24"/>
        </w:rPr>
        <w:t xml:space="preserve">a misurazione della performance ha ripercussioni </w:t>
      </w:r>
      <w:r>
        <w:rPr>
          <w:sz w:val="24"/>
          <w:szCs w:val="24"/>
        </w:rPr>
        <w:t xml:space="preserve">anche </w:t>
      </w:r>
      <w:r w:rsidRPr="00D52887">
        <w:rPr>
          <w:sz w:val="24"/>
          <w:szCs w:val="24"/>
        </w:rPr>
        <w:t>sulla retribuzione s</w:t>
      </w:r>
      <w:r>
        <w:rPr>
          <w:sz w:val="24"/>
          <w:szCs w:val="24"/>
        </w:rPr>
        <w:t>p</w:t>
      </w:r>
      <w:r w:rsidRPr="00D52887">
        <w:rPr>
          <w:sz w:val="24"/>
          <w:szCs w:val="24"/>
        </w:rPr>
        <w:t>ettante al d</w:t>
      </w:r>
      <w:r>
        <w:rPr>
          <w:sz w:val="24"/>
          <w:szCs w:val="24"/>
        </w:rPr>
        <w:t>ipendente pubblico. Il Decreto B</w:t>
      </w:r>
      <w:r w:rsidRPr="00D52887">
        <w:rPr>
          <w:sz w:val="24"/>
          <w:szCs w:val="24"/>
        </w:rPr>
        <w:t>runetta dispone che i contratti collettivi defini</w:t>
      </w:r>
      <w:r>
        <w:rPr>
          <w:sz w:val="24"/>
          <w:szCs w:val="24"/>
        </w:rPr>
        <w:t>scano</w:t>
      </w:r>
      <w:r w:rsidRPr="00D52887">
        <w:rPr>
          <w:sz w:val="24"/>
          <w:szCs w:val="24"/>
        </w:rPr>
        <w:t xml:space="preserve"> trattamenti economici accessori collegati </w:t>
      </w:r>
      <w:r>
        <w:rPr>
          <w:sz w:val="24"/>
          <w:szCs w:val="24"/>
        </w:rPr>
        <w:t xml:space="preserve">alla performance individuale, </w:t>
      </w:r>
      <w:r w:rsidRPr="00D52887">
        <w:rPr>
          <w:sz w:val="24"/>
          <w:szCs w:val="24"/>
        </w:rPr>
        <w:t>alla performance o</w:t>
      </w:r>
      <w:r>
        <w:rPr>
          <w:sz w:val="24"/>
          <w:szCs w:val="24"/>
        </w:rPr>
        <w:t>rganizzativa (ossia con riferime</w:t>
      </w:r>
      <w:r w:rsidRPr="00D52887">
        <w:rPr>
          <w:sz w:val="24"/>
          <w:szCs w:val="24"/>
        </w:rPr>
        <w:t>n</w:t>
      </w:r>
      <w:r>
        <w:rPr>
          <w:sz w:val="24"/>
          <w:szCs w:val="24"/>
        </w:rPr>
        <w:t>t</w:t>
      </w:r>
      <w:r w:rsidRPr="00D52887">
        <w:rPr>
          <w:sz w:val="24"/>
          <w:szCs w:val="24"/>
        </w:rPr>
        <w:t>o all’amministrazione nel suo comple</w:t>
      </w:r>
      <w:r>
        <w:rPr>
          <w:sz w:val="24"/>
          <w:szCs w:val="24"/>
        </w:rPr>
        <w:t xml:space="preserve">sso, alle unità organizzative o </w:t>
      </w:r>
      <w:r w:rsidRPr="00D52887">
        <w:rPr>
          <w:sz w:val="24"/>
          <w:szCs w:val="24"/>
        </w:rPr>
        <w:t>aree di responsabilità in cui si articola la medesima amministrazione</w:t>
      </w:r>
      <w:r>
        <w:rPr>
          <w:sz w:val="24"/>
          <w:szCs w:val="24"/>
        </w:rPr>
        <w:t>),</w:t>
      </w:r>
      <w:r w:rsidRPr="00D52887">
        <w:rPr>
          <w:sz w:val="24"/>
          <w:szCs w:val="24"/>
        </w:rPr>
        <w:t xml:space="preserve"> all’effetti</w:t>
      </w:r>
      <w:r>
        <w:rPr>
          <w:sz w:val="24"/>
          <w:szCs w:val="24"/>
        </w:rPr>
        <w:t>vo svolgimento di attività partico</w:t>
      </w:r>
      <w:r w:rsidRPr="00D52887">
        <w:rPr>
          <w:sz w:val="24"/>
          <w:szCs w:val="24"/>
        </w:rPr>
        <w:t>larmente dis</w:t>
      </w:r>
      <w:r>
        <w:rPr>
          <w:sz w:val="24"/>
          <w:szCs w:val="24"/>
        </w:rPr>
        <w:t xml:space="preserve">agiate ovvero dannose per la </w:t>
      </w:r>
      <w:r w:rsidRPr="00D52887">
        <w:rPr>
          <w:sz w:val="24"/>
          <w:szCs w:val="24"/>
        </w:rPr>
        <w:t xml:space="preserve">salute.  Particolarmente innovative </w:t>
      </w:r>
      <w:r>
        <w:rPr>
          <w:sz w:val="24"/>
          <w:szCs w:val="24"/>
        </w:rPr>
        <w:t>sono le disposizioni recanti cri</w:t>
      </w:r>
      <w:r w:rsidRPr="00D52887">
        <w:rPr>
          <w:sz w:val="24"/>
          <w:szCs w:val="24"/>
        </w:rPr>
        <w:t>teri pe</w:t>
      </w:r>
      <w:r>
        <w:rPr>
          <w:sz w:val="24"/>
          <w:szCs w:val="24"/>
        </w:rPr>
        <w:t>r</w:t>
      </w:r>
      <w:r w:rsidRPr="00D52887">
        <w:rPr>
          <w:sz w:val="24"/>
          <w:szCs w:val="24"/>
        </w:rPr>
        <w:t xml:space="preserve"> la differenziazione delle valutazioni, in tema di trattamento accessorio collegato alla performance individuale. Il nuovo meccanismo è centrato sulla definizione di una graduatoria articolata su tre fasce di merito. Così, in ogni amministrazione, l’OIV, sulla base dei livelli di performance a</w:t>
      </w:r>
      <w:r>
        <w:rPr>
          <w:sz w:val="24"/>
          <w:szCs w:val="24"/>
        </w:rPr>
        <w:t>ttribuiti ai valutati, inserisce</w:t>
      </w:r>
      <w:r w:rsidRPr="00D52887">
        <w:rPr>
          <w:sz w:val="24"/>
          <w:szCs w:val="24"/>
        </w:rPr>
        <w:t xml:space="preserve"> tutto il personale in differenti livelli di performance in modo tale che: </w:t>
      </w:r>
    </w:p>
    <w:p w:rsidR="00664F77" w:rsidRPr="00D52887" w:rsidRDefault="00664F77" w:rsidP="00C40A8C">
      <w:pPr>
        <w:pStyle w:val="Paragrafoelenco"/>
        <w:numPr>
          <w:ilvl w:val="0"/>
          <w:numId w:val="1"/>
        </w:numPr>
        <w:jc w:val="both"/>
        <w:rPr>
          <w:sz w:val="24"/>
          <w:szCs w:val="24"/>
        </w:rPr>
      </w:pPr>
      <w:r>
        <w:rPr>
          <w:sz w:val="24"/>
          <w:szCs w:val="24"/>
        </w:rPr>
        <w:t>il</w:t>
      </w:r>
      <w:r w:rsidRPr="00D52887">
        <w:rPr>
          <w:sz w:val="24"/>
          <w:szCs w:val="24"/>
        </w:rPr>
        <w:t xml:space="preserve"> 25% è collocato</w:t>
      </w:r>
      <w:r>
        <w:rPr>
          <w:sz w:val="24"/>
          <w:szCs w:val="24"/>
        </w:rPr>
        <w:t xml:space="preserve"> </w:t>
      </w:r>
      <w:r w:rsidRPr="00D52887">
        <w:rPr>
          <w:sz w:val="24"/>
          <w:szCs w:val="24"/>
        </w:rPr>
        <w:t>nella fascia di merito alta, alla quale corrisponde l’attribuzione del 50% delle risorse destinate al trattamento accessorio collegato alla performance individuale;</w:t>
      </w:r>
    </w:p>
    <w:p w:rsidR="00664F77" w:rsidRPr="00D52887" w:rsidRDefault="00664F77" w:rsidP="00C40A8C">
      <w:pPr>
        <w:pStyle w:val="Paragrafoelenco"/>
        <w:numPr>
          <w:ilvl w:val="0"/>
          <w:numId w:val="1"/>
        </w:numPr>
        <w:jc w:val="both"/>
        <w:rPr>
          <w:sz w:val="24"/>
          <w:szCs w:val="24"/>
        </w:rPr>
      </w:pPr>
      <w:r>
        <w:rPr>
          <w:sz w:val="24"/>
          <w:szCs w:val="24"/>
        </w:rPr>
        <w:t>i</w:t>
      </w:r>
      <w:r w:rsidRPr="00D52887">
        <w:rPr>
          <w:sz w:val="24"/>
          <w:szCs w:val="24"/>
        </w:rPr>
        <w:t>l 50% è collocato nella fascia di merito intermedia, alla quale corrisponde l’attribuzione del 50% delle risorse de</w:t>
      </w:r>
      <w:r>
        <w:rPr>
          <w:sz w:val="24"/>
          <w:szCs w:val="24"/>
        </w:rPr>
        <w:t>s</w:t>
      </w:r>
      <w:r w:rsidRPr="00D52887">
        <w:rPr>
          <w:sz w:val="24"/>
          <w:szCs w:val="24"/>
        </w:rPr>
        <w:t>tina</w:t>
      </w:r>
      <w:r>
        <w:rPr>
          <w:sz w:val="24"/>
          <w:szCs w:val="24"/>
        </w:rPr>
        <w:t>t</w:t>
      </w:r>
      <w:r w:rsidRPr="00D52887">
        <w:rPr>
          <w:sz w:val="24"/>
          <w:szCs w:val="24"/>
        </w:rPr>
        <w:t>e al trattamento accessorio collegato alla performance individuale;</w:t>
      </w:r>
    </w:p>
    <w:p w:rsidR="00664F77" w:rsidRPr="00D52887" w:rsidRDefault="00664F77" w:rsidP="00C40A8C">
      <w:pPr>
        <w:pStyle w:val="Paragrafoelenco"/>
        <w:numPr>
          <w:ilvl w:val="0"/>
          <w:numId w:val="1"/>
        </w:numPr>
        <w:jc w:val="both"/>
        <w:rPr>
          <w:sz w:val="24"/>
          <w:szCs w:val="24"/>
        </w:rPr>
      </w:pPr>
      <w:r>
        <w:rPr>
          <w:sz w:val="24"/>
          <w:szCs w:val="24"/>
        </w:rPr>
        <w:t>i</w:t>
      </w:r>
      <w:r w:rsidRPr="00D52887">
        <w:rPr>
          <w:sz w:val="24"/>
          <w:szCs w:val="24"/>
        </w:rPr>
        <w:t xml:space="preserve">l restante 25% è collocato nella fascia di merito bassa, alla quale non corrisponde l’attribuzione di alcun trattamento accessorio collegato alla performance individuale. </w:t>
      </w:r>
    </w:p>
    <w:p w:rsidR="00664F77" w:rsidRPr="00F73EFB" w:rsidRDefault="00664F77" w:rsidP="00C40A8C">
      <w:pPr>
        <w:jc w:val="both"/>
        <w:rPr>
          <w:sz w:val="24"/>
          <w:szCs w:val="24"/>
        </w:rPr>
      </w:pPr>
      <w:r w:rsidRPr="00F73EFB">
        <w:rPr>
          <w:sz w:val="24"/>
          <w:szCs w:val="24"/>
        </w:rPr>
        <w:t>Occorre precisare che la suddetta divisione, parzialmente rimodulabile in sede di contrattazione decentrata,</w:t>
      </w:r>
      <w:r w:rsidRPr="00F73EFB">
        <w:rPr>
          <w:sz w:val="24"/>
          <w:szCs w:val="24"/>
          <w:u w:val="single"/>
        </w:rPr>
        <w:t>è obbligatoria per legge</w:t>
      </w:r>
      <w:r w:rsidRPr="00F73EFB">
        <w:rPr>
          <w:sz w:val="24"/>
          <w:szCs w:val="24"/>
        </w:rPr>
        <w:t>, ovvero ogni singola amministrazione, prescindendo dai livelli quali-quantitativi raggiunti, dovrà necessariamente collocare il proprio personale all’interno delle tre fasce di merito, “stanando” il 25% dei cd. fannulloni anche laddove questi risultino essere presenti in misura percentuale inferiore a quella stabilita, o del tutto assenti.</w:t>
      </w:r>
    </w:p>
    <w:p w:rsidR="00664F77" w:rsidRPr="00D52887" w:rsidRDefault="00664F77" w:rsidP="00C40A8C">
      <w:pPr>
        <w:jc w:val="both"/>
        <w:rPr>
          <w:sz w:val="24"/>
          <w:szCs w:val="24"/>
        </w:rPr>
      </w:pPr>
      <w:r w:rsidRPr="00D52887">
        <w:rPr>
          <w:sz w:val="24"/>
          <w:szCs w:val="24"/>
        </w:rPr>
        <w:t>Per i dirigenti, i criteri di compilazione della graduatoria e di attribuzione del trattamento accessorio si applicano alla retribuzione di risultato.</w:t>
      </w:r>
    </w:p>
    <w:p w:rsidR="00664F77" w:rsidRPr="00D52887" w:rsidRDefault="00664F77" w:rsidP="00C40A8C">
      <w:pPr>
        <w:jc w:val="both"/>
        <w:rPr>
          <w:sz w:val="24"/>
          <w:szCs w:val="24"/>
        </w:rPr>
      </w:pPr>
      <w:r w:rsidRPr="00D52887">
        <w:rPr>
          <w:sz w:val="24"/>
          <w:szCs w:val="24"/>
        </w:rPr>
        <w:t>Il Decreto passa altresì in rassegna i nuovi istituti premianti il merito e le professionalità. Essi sono:</w:t>
      </w:r>
    </w:p>
    <w:p w:rsidR="00664F77" w:rsidRPr="00D52887" w:rsidRDefault="00664F77" w:rsidP="00C40A8C">
      <w:pPr>
        <w:pStyle w:val="Paragrafoelenco"/>
        <w:numPr>
          <w:ilvl w:val="0"/>
          <w:numId w:val="1"/>
        </w:numPr>
        <w:jc w:val="both"/>
        <w:rPr>
          <w:sz w:val="24"/>
          <w:szCs w:val="24"/>
        </w:rPr>
      </w:pPr>
      <w:r w:rsidRPr="00D52887">
        <w:rPr>
          <w:sz w:val="24"/>
          <w:szCs w:val="24"/>
        </w:rPr>
        <w:t>Il bonus annuale delle eccellenze;</w:t>
      </w:r>
    </w:p>
    <w:p w:rsidR="00664F77" w:rsidRPr="00D52887" w:rsidRDefault="00664F77" w:rsidP="00C40A8C">
      <w:pPr>
        <w:pStyle w:val="Paragrafoelenco"/>
        <w:numPr>
          <w:ilvl w:val="0"/>
          <w:numId w:val="1"/>
        </w:numPr>
        <w:jc w:val="both"/>
        <w:rPr>
          <w:sz w:val="24"/>
          <w:szCs w:val="24"/>
        </w:rPr>
      </w:pPr>
      <w:r w:rsidRPr="00D52887">
        <w:rPr>
          <w:sz w:val="24"/>
          <w:szCs w:val="24"/>
        </w:rPr>
        <w:t>Il premio annuale per l’innovazione,</w:t>
      </w:r>
    </w:p>
    <w:p w:rsidR="00664F77" w:rsidRPr="00D52887" w:rsidRDefault="00664F77" w:rsidP="00C40A8C">
      <w:pPr>
        <w:pStyle w:val="Paragrafoelenco"/>
        <w:numPr>
          <w:ilvl w:val="0"/>
          <w:numId w:val="1"/>
        </w:numPr>
        <w:jc w:val="both"/>
        <w:rPr>
          <w:sz w:val="24"/>
          <w:szCs w:val="24"/>
        </w:rPr>
      </w:pPr>
      <w:r w:rsidRPr="00D52887">
        <w:rPr>
          <w:sz w:val="24"/>
          <w:szCs w:val="24"/>
        </w:rPr>
        <w:t>Le progressioni economiche;</w:t>
      </w:r>
    </w:p>
    <w:p w:rsidR="00664F77" w:rsidRPr="00D52887" w:rsidRDefault="00664F77" w:rsidP="00C40A8C">
      <w:pPr>
        <w:pStyle w:val="Paragrafoelenco"/>
        <w:numPr>
          <w:ilvl w:val="0"/>
          <w:numId w:val="1"/>
        </w:numPr>
        <w:jc w:val="both"/>
        <w:rPr>
          <w:sz w:val="24"/>
          <w:szCs w:val="24"/>
        </w:rPr>
      </w:pPr>
      <w:r w:rsidRPr="00D52887">
        <w:rPr>
          <w:sz w:val="24"/>
          <w:szCs w:val="24"/>
        </w:rPr>
        <w:t xml:space="preserve">Le progressioni di carriera; </w:t>
      </w:r>
    </w:p>
    <w:p w:rsidR="00664F77" w:rsidRPr="00D52887" w:rsidRDefault="00664F77" w:rsidP="00C40A8C">
      <w:pPr>
        <w:pStyle w:val="Paragrafoelenco"/>
        <w:numPr>
          <w:ilvl w:val="0"/>
          <w:numId w:val="1"/>
        </w:numPr>
        <w:jc w:val="both"/>
        <w:rPr>
          <w:sz w:val="24"/>
          <w:szCs w:val="24"/>
        </w:rPr>
      </w:pPr>
      <w:r w:rsidRPr="00D52887">
        <w:rPr>
          <w:sz w:val="24"/>
          <w:szCs w:val="24"/>
        </w:rPr>
        <w:t>L’attribuzione di incarichi e responsabilità;</w:t>
      </w:r>
    </w:p>
    <w:p w:rsidR="00664F77" w:rsidRPr="00D52887" w:rsidRDefault="00664F77" w:rsidP="00C40A8C">
      <w:pPr>
        <w:pStyle w:val="Paragrafoelenco"/>
        <w:numPr>
          <w:ilvl w:val="0"/>
          <w:numId w:val="1"/>
        </w:numPr>
        <w:jc w:val="both"/>
        <w:rPr>
          <w:sz w:val="24"/>
          <w:szCs w:val="24"/>
        </w:rPr>
      </w:pPr>
      <w:r w:rsidRPr="00D52887">
        <w:rPr>
          <w:sz w:val="24"/>
          <w:szCs w:val="24"/>
        </w:rPr>
        <w:t xml:space="preserve">L’accesso a percorsi di alta formazione e di crescita professionale, in ambito nazionale </w:t>
      </w:r>
      <w:r>
        <w:rPr>
          <w:sz w:val="24"/>
          <w:szCs w:val="24"/>
        </w:rPr>
        <w:t>e</w:t>
      </w:r>
      <w:r w:rsidRPr="00D52887">
        <w:rPr>
          <w:sz w:val="24"/>
          <w:szCs w:val="24"/>
        </w:rPr>
        <w:t>d internazionale.</w:t>
      </w:r>
    </w:p>
    <w:p w:rsidR="00664F77" w:rsidRPr="00D52887" w:rsidRDefault="00664F77" w:rsidP="00285358">
      <w:pPr>
        <w:jc w:val="both"/>
        <w:rPr>
          <w:sz w:val="24"/>
          <w:szCs w:val="24"/>
        </w:rPr>
      </w:pPr>
      <w:r w:rsidRPr="00D52887">
        <w:rPr>
          <w:sz w:val="24"/>
          <w:szCs w:val="24"/>
        </w:rPr>
        <w:lastRenderedPageBreak/>
        <w:t>Al fine di garantire la massima trasparenza, il decreto Brunetta sancisce che le amministrazio</w:t>
      </w:r>
      <w:r>
        <w:rPr>
          <w:sz w:val="24"/>
          <w:szCs w:val="24"/>
        </w:rPr>
        <w:t xml:space="preserve">ni pubbliche adottano modalità </w:t>
      </w:r>
      <w:r w:rsidRPr="00D52887">
        <w:rPr>
          <w:sz w:val="24"/>
          <w:szCs w:val="24"/>
        </w:rPr>
        <w:t>e strumenti di comunicazioni in gr</w:t>
      </w:r>
      <w:r>
        <w:rPr>
          <w:sz w:val="24"/>
          <w:szCs w:val="24"/>
        </w:rPr>
        <w:t>ado di garantire la massima tras</w:t>
      </w:r>
      <w:r w:rsidRPr="00D52887">
        <w:rPr>
          <w:sz w:val="24"/>
          <w:szCs w:val="24"/>
        </w:rPr>
        <w:t xml:space="preserve">parenza delle informazioni concernenti la valutazione della performance. Allo stesso tempo, associa il concetto di valutazione della performance a quello di </w:t>
      </w:r>
      <w:r w:rsidRPr="00963CC9">
        <w:rPr>
          <w:i/>
          <w:iCs/>
          <w:sz w:val="24"/>
          <w:szCs w:val="24"/>
        </w:rPr>
        <w:t>customer</w:t>
      </w:r>
      <w:r>
        <w:rPr>
          <w:i/>
          <w:iCs/>
          <w:sz w:val="24"/>
          <w:szCs w:val="24"/>
        </w:rPr>
        <w:t xml:space="preserve"> </w:t>
      </w:r>
      <w:r w:rsidRPr="00963CC9">
        <w:rPr>
          <w:i/>
          <w:iCs/>
          <w:sz w:val="24"/>
          <w:szCs w:val="24"/>
        </w:rPr>
        <w:t>satisfaction</w:t>
      </w:r>
      <w:r w:rsidRPr="00D52887">
        <w:rPr>
          <w:sz w:val="24"/>
          <w:szCs w:val="24"/>
        </w:rPr>
        <w:t xml:space="preserve">, disponendo che detta valutazione debba essere realizzata tramite metodi e strumenti secondo criteri strettamente connessi al soddisfacimento dell’interesse del destinatario </w:t>
      </w:r>
      <w:r>
        <w:rPr>
          <w:sz w:val="24"/>
          <w:szCs w:val="24"/>
        </w:rPr>
        <w:t xml:space="preserve">ultimo </w:t>
      </w:r>
      <w:r w:rsidRPr="00D52887">
        <w:rPr>
          <w:sz w:val="24"/>
          <w:szCs w:val="24"/>
        </w:rPr>
        <w:t>dei servizi pubblici, ossia il cittadino. Il rispetto delle disposizioni reca</w:t>
      </w:r>
      <w:r>
        <w:rPr>
          <w:sz w:val="24"/>
          <w:szCs w:val="24"/>
        </w:rPr>
        <w:t>te dal Decreto è condizione necess</w:t>
      </w:r>
      <w:r w:rsidRPr="00D52887">
        <w:rPr>
          <w:sz w:val="24"/>
          <w:szCs w:val="24"/>
        </w:rPr>
        <w:t>a</w:t>
      </w:r>
      <w:r>
        <w:rPr>
          <w:sz w:val="24"/>
          <w:szCs w:val="24"/>
        </w:rPr>
        <w:t>r</w:t>
      </w:r>
      <w:r w:rsidRPr="00D52887">
        <w:rPr>
          <w:sz w:val="24"/>
          <w:szCs w:val="24"/>
        </w:rPr>
        <w:t>i</w:t>
      </w:r>
      <w:r>
        <w:rPr>
          <w:sz w:val="24"/>
          <w:szCs w:val="24"/>
        </w:rPr>
        <w:t>a</w:t>
      </w:r>
      <w:r w:rsidRPr="00D52887">
        <w:rPr>
          <w:sz w:val="24"/>
          <w:szCs w:val="24"/>
        </w:rPr>
        <w:t xml:space="preserve"> per l’erogazione di premi legati al merito e alla performance. </w:t>
      </w:r>
    </w:p>
    <w:p w:rsidR="00664F77" w:rsidRPr="00D52887" w:rsidRDefault="00664F77" w:rsidP="00285358">
      <w:pPr>
        <w:jc w:val="both"/>
        <w:rPr>
          <w:sz w:val="24"/>
          <w:szCs w:val="24"/>
        </w:rPr>
      </w:pPr>
      <w:r w:rsidRPr="00D52887">
        <w:rPr>
          <w:sz w:val="24"/>
          <w:szCs w:val="24"/>
        </w:rPr>
        <w:t>In ossequio a quanto sopra, le amm</w:t>
      </w:r>
      <w:r>
        <w:rPr>
          <w:sz w:val="24"/>
          <w:szCs w:val="24"/>
        </w:rPr>
        <w:t>inistrazioni sono tenute a redi</w:t>
      </w:r>
      <w:r w:rsidRPr="00D52887">
        <w:rPr>
          <w:sz w:val="24"/>
          <w:szCs w:val="24"/>
        </w:rPr>
        <w:t>gere annualmente:</w:t>
      </w:r>
    </w:p>
    <w:p w:rsidR="00664F77" w:rsidRPr="00D52887" w:rsidRDefault="00664F77" w:rsidP="00CD6609">
      <w:pPr>
        <w:pStyle w:val="Paragrafoelenco"/>
        <w:numPr>
          <w:ilvl w:val="0"/>
          <w:numId w:val="1"/>
        </w:numPr>
        <w:jc w:val="both"/>
        <w:rPr>
          <w:sz w:val="24"/>
          <w:szCs w:val="24"/>
        </w:rPr>
      </w:pPr>
      <w:r>
        <w:rPr>
          <w:sz w:val="24"/>
          <w:szCs w:val="24"/>
        </w:rPr>
        <w:t>e</w:t>
      </w:r>
      <w:r w:rsidRPr="00D52887">
        <w:rPr>
          <w:sz w:val="24"/>
          <w:szCs w:val="24"/>
        </w:rPr>
        <w:t xml:space="preserve">ntro il 31 gennaio, un documento programmatico triennale denominato </w:t>
      </w:r>
      <w:r w:rsidRPr="00BC5CDC">
        <w:rPr>
          <w:i/>
          <w:iCs/>
          <w:sz w:val="24"/>
          <w:szCs w:val="24"/>
        </w:rPr>
        <w:t>Piano della Performance</w:t>
      </w:r>
      <w:r w:rsidRPr="00D52887">
        <w:rPr>
          <w:sz w:val="24"/>
          <w:szCs w:val="24"/>
        </w:rPr>
        <w:t>, che individua gli obiettivi strategici ed operativi, definisce gli indicatori per la misurazione della performance dell</w:t>
      </w:r>
      <w:r>
        <w:rPr>
          <w:sz w:val="24"/>
          <w:szCs w:val="24"/>
        </w:rPr>
        <w:t>’amministrazione nonché gli ob</w:t>
      </w:r>
      <w:r w:rsidRPr="00D52887">
        <w:rPr>
          <w:sz w:val="24"/>
          <w:szCs w:val="24"/>
        </w:rPr>
        <w:t>i</w:t>
      </w:r>
      <w:r>
        <w:rPr>
          <w:sz w:val="24"/>
          <w:szCs w:val="24"/>
        </w:rPr>
        <w:t>et</w:t>
      </w:r>
      <w:r w:rsidRPr="00D52887">
        <w:rPr>
          <w:sz w:val="24"/>
          <w:szCs w:val="24"/>
        </w:rPr>
        <w:t>tivi assegnati al personale dirigenziale ed i relativi indicatori;</w:t>
      </w:r>
    </w:p>
    <w:p w:rsidR="00664F77" w:rsidRDefault="00664F77" w:rsidP="00DA1E14">
      <w:pPr>
        <w:pStyle w:val="Paragrafoelenco"/>
        <w:numPr>
          <w:ilvl w:val="0"/>
          <w:numId w:val="1"/>
        </w:numPr>
        <w:jc w:val="both"/>
        <w:rPr>
          <w:sz w:val="24"/>
          <w:szCs w:val="24"/>
        </w:rPr>
      </w:pPr>
      <w:r>
        <w:rPr>
          <w:sz w:val="24"/>
          <w:szCs w:val="24"/>
        </w:rPr>
        <w:t>e</w:t>
      </w:r>
      <w:r w:rsidRPr="00D52887">
        <w:rPr>
          <w:sz w:val="24"/>
          <w:szCs w:val="24"/>
        </w:rPr>
        <w:t xml:space="preserve">ntro il 30 giugno, un documento denominato </w:t>
      </w:r>
      <w:r w:rsidRPr="00BC5CDC">
        <w:rPr>
          <w:i/>
          <w:iCs/>
          <w:sz w:val="24"/>
          <w:szCs w:val="24"/>
        </w:rPr>
        <w:t>Relazione sulla performance</w:t>
      </w:r>
      <w:r w:rsidRPr="00D52887">
        <w:rPr>
          <w:sz w:val="24"/>
          <w:szCs w:val="24"/>
        </w:rPr>
        <w:t xml:space="preserve">, validato dall’OIV, che evidenzia, a consuntivo, con riferimento all’anno precedente, i risultati organizzativi ed individuali raggiunti rispetto ai singoli obiettivi programmati e alle risorse disponibili, con rilevazione degli eventuali scostamenti. </w:t>
      </w:r>
    </w:p>
    <w:p w:rsidR="00664F77" w:rsidRPr="00C40A8C" w:rsidRDefault="00664F77" w:rsidP="00C40A8C">
      <w:pPr>
        <w:jc w:val="both"/>
        <w:rPr>
          <w:sz w:val="24"/>
          <w:szCs w:val="24"/>
        </w:rPr>
      </w:pPr>
      <w:r>
        <w:rPr>
          <w:sz w:val="24"/>
          <w:szCs w:val="24"/>
        </w:rPr>
        <w:t>L</w:t>
      </w:r>
      <w:r w:rsidRPr="00C40A8C">
        <w:rPr>
          <w:sz w:val="24"/>
          <w:szCs w:val="24"/>
        </w:rPr>
        <w:t xml:space="preserve">a trasparenza è intesa come accessibilità totale, anche attraverso lo strumento della pubblicazione sui siti istituzionali </w:t>
      </w:r>
      <w:r>
        <w:rPr>
          <w:sz w:val="24"/>
          <w:szCs w:val="24"/>
        </w:rPr>
        <w:t>delle amministrazioni pubbliche</w:t>
      </w:r>
      <w:r w:rsidRPr="00C40A8C">
        <w:rPr>
          <w:sz w:val="24"/>
          <w:szCs w:val="24"/>
        </w:rPr>
        <w:t xml:space="preserve"> delle informazioni concernenti ogni aspetto dell’organizzazione, dell’utilizzo delle risorse per il perseguimento delle funzioni istituzionali, dei risultati dell’attività di misurazione e valutazione</w:t>
      </w:r>
      <w:r>
        <w:rPr>
          <w:sz w:val="24"/>
          <w:szCs w:val="24"/>
        </w:rPr>
        <w:t xml:space="preserve"> svolta dagli organi competenti. Da qui nasce </w:t>
      </w:r>
      <w:r w:rsidRPr="00C40A8C">
        <w:rPr>
          <w:sz w:val="24"/>
          <w:szCs w:val="24"/>
        </w:rPr>
        <w:t xml:space="preserve">l’obbligo per le amministrazioni di pubblicare sul proprio sito istituzionale, in apposita sezione di facile accesso denominata </w:t>
      </w:r>
      <w:r w:rsidRPr="00BC5CDC">
        <w:rPr>
          <w:i/>
          <w:iCs/>
          <w:sz w:val="24"/>
          <w:szCs w:val="24"/>
        </w:rPr>
        <w:t>Trasparenza, valutazione e merito</w:t>
      </w:r>
      <w:r w:rsidRPr="00C40A8C">
        <w:rPr>
          <w:sz w:val="24"/>
          <w:szCs w:val="24"/>
        </w:rPr>
        <w:t xml:space="preserve">, una serie di </w:t>
      </w:r>
      <w:r>
        <w:rPr>
          <w:sz w:val="24"/>
          <w:szCs w:val="24"/>
        </w:rPr>
        <w:t>documenti</w:t>
      </w:r>
      <w:r w:rsidRPr="00C40A8C">
        <w:rPr>
          <w:sz w:val="24"/>
          <w:szCs w:val="24"/>
        </w:rPr>
        <w:t>, tra cui rilevano:</w:t>
      </w:r>
    </w:p>
    <w:p w:rsidR="00664F77" w:rsidRPr="00D52887" w:rsidRDefault="00664F77" w:rsidP="004F0BCB">
      <w:pPr>
        <w:pStyle w:val="Paragrafoelenco"/>
        <w:numPr>
          <w:ilvl w:val="0"/>
          <w:numId w:val="1"/>
        </w:numPr>
        <w:jc w:val="both"/>
        <w:rPr>
          <w:sz w:val="24"/>
          <w:szCs w:val="24"/>
        </w:rPr>
      </w:pPr>
      <w:r>
        <w:rPr>
          <w:sz w:val="24"/>
          <w:szCs w:val="24"/>
        </w:rPr>
        <w:t>i</w:t>
      </w:r>
      <w:r w:rsidRPr="00D52887">
        <w:rPr>
          <w:sz w:val="24"/>
          <w:szCs w:val="24"/>
        </w:rPr>
        <w:t xml:space="preserve">l </w:t>
      </w:r>
      <w:r w:rsidRPr="00D52887">
        <w:rPr>
          <w:i/>
          <w:iCs/>
          <w:sz w:val="24"/>
          <w:szCs w:val="24"/>
        </w:rPr>
        <w:t>Piano della performance</w:t>
      </w:r>
      <w:r w:rsidRPr="00D52887">
        <w:rPr>
          <w:sz w:val="24"/>
          <w:szCs w:val="24"/>
        </w:rPr>
        <w:t xml:space="preserve">, la </w:t>
      </w:r>
      <w:r w:rsidRPr="00D52887">
        <w:rPr>
          <w:i/>
          <w:iCs/>
          <w:sz w:val="24"/>
          <w:szCs w:val="24"/>
        </w:rPr>
        <w:t>Relazione sulla performance</w:t>
      </w:r>
      <w:r w:rsidRPr="00D52887">
        <w:rPr>
          <w:sz w:val="24"/>
          <w:szCs w:val="24"/>
        </w:rPr>
        <w:t xml:space="preserve"> e il </w:t>
      </w:r>
      <w:r w:rsidRPr="00D52887">
        <w:rPr>
          <w:i/>
          <w:iCs/>
          <w:sz w:val="24"/>
          <w:szCs w:val="24"/>
        </w:rPr>
        <w:t>Programma triennale per la trasparenza e l’integrità</w:t>
      </w:r>
      <w:r w:rsidRPr="00D52887">
        <w:rPr>
          <w:sz w:val="24"/>
          <w:szCs w:val="24"/>
        </w:rPr>
        <w:t>;</w:t>
      </w:r>
    </w:p>
    <w:p w:rsidR="00664F77" w:rsidRPr="00D52887" w:rsidRDefault="00664F77" w:rsidP="004F0BCB">
      <w:pPr>
        <w:pStyle w:val="Paragrafoelenco"/>
        <w:numPr>
          <w:ilvl w:val="0"/>
          <w:numId w:val="1"/>
        </w:numPr>
        <w:jc w:val="both"/>
        <w:rPr>
          <w:sz w:val="24"/>
          <w:szCs w:val="24"/>
        </w:rPr>
      </w:pPr>
      <w:r>
        <w:rPr>
          <w:sz w:val="24"/>
          <w:szCs w:val="24"/>
        </w:rPr>
        <w:t>l</w:t>
      </w:r>
      <w:r w:rsidRPr="00D52887">
        <w:rPr>
          <w:sz w:val="24"/>
          <w:szCs w:val="24"/>
        </w:rPr>
        <w:t>’ammontare complessivo dei premi collegati alla performance stanziati e l’ammontare dei premi effettivamente distribuiti;</w:t>
      </w:r>
    </w:p>
    <w:p w:rsidR="00664F77" w:rsidRPr="00D52887" w:rsidRDefault="00664F77" w:rsidP="004F0BCB">
      <w:pPr>
        <w:pStyle w:val="Paragrafoelenco"/>
        <w:numPr>
          <w:ilvl w:val="0"/>
          <w:numId w:val="1"/>
        </w:numPr>
        <w:jc w:val="both"/>
        <w:rPr>
          <w:sz w:val="24"/>
          <w:szCs w:val="24"/>
        </w:rPr>
      </w:pPr>
      <w:r>
        <w:rPr>
          <w:sz w:val="24"/>
          <w:szCs w:val="24"/>
        </w:rPr>
        <w:t>i</w:t>
      </w:r>
      <w:r w:rsidRPr="00D52887">
        <w:rPr>
          <w:sz w:val="24"/>
          <w:szCs w:val="24"/>
        </w:rPr>
        <w:t xml:space="preserve"> nominativi ed i curricula</w:t>
      </w:r>
      <w:r>
        <w:rPr>
          <w:sz w:val="24"/>
          <w:szCs w:val="24"/>
        </w:rPr>
        <w:t xml:space="preserve"> vitae</w:t>
      </w:r>
      <w:r w:rsidRPr="00D52887">
        <w:rPr>
          <w:sz w:val="24"/>
          <w:szCs w:val="24"/>
        </w:rPr>
        <w:t xml:space="preserve"> dei componenti degli OIV;</w:t>
      </w:r>
    </w:p>
    <w:p w:rsidR="00664F77" w:rsidRPr="00D52887" w:rsidRDefault="00664F77" w:rsidP="004F0BCB">
      <w:pPr>
        <w:pStyle w:val="Paragrafoelenco"/>
        <w:numPr>
          <w:ilvl w:val="0"/>
          <w:numId w:val="1"/>
        </w:numPr>
        <w:jc w:val="both"/>
        <w:rPr>
          <w:sz w:val="24"/>
          <w:szCs w:val="24"/>
        </w:rPr>
      </w:pPr>
      <w:r>
        <w:rPr>
          <w:sz w:val="24"/>
          <w:szCs w:val="24"/>
        </w:rPr>
        <w:t>i</w:t>
      </w:r>
      <w:r w:rsidRPr="00D52887">
        <w:rPr>
          <w:sz w:val="24"/>
          <w:szCs w:val="24"/>
        </w:rPr>
        <w:t xml:space="preserve"> curricula </w:t>
      </w:r>
      <w:r>
        <w:rPr>
          <w:sz w:val="24"/>
          <w:szCs w:val="24"/>
        </w:rPr>
        <w:t xml:space="preserve">vitae </w:t>
      </w:r>
      <w:r w:rsidRPr="00D52887">
        <w:rPr>
          <w:sz w:val="24"/>
          <w:szCs w:val="24"/>
        </w:rPr>
        <w:t>dei dirigenti e dei titolari di posizioni organizzative;</w:t>
      </w:r>
    </w:p>
    <w:p w:rsidR="00664F77" w:rsidRPr="00D52887" w:rsidRDefault="00664F77" w:rsidP="004F0BCB">
      <w:pPr>
        <w:pStyle w:val="Paragrafoelenco"/>
        <w:numPr>
          <w:ilvl w:val="0"/>
          <w:numId w:val="1"/>
        </w:numPr>
        <w:jc w:val="both"/>
        <w:rPr>
          <w:sz w:val="24"/>
          <w:szCs w:val="24"/>
        </w:rPr>
      </w:pPr>
      <w:r>
        <w:rPr>
          <w:sz w:val="24"/>
          <w:szCs w:val="24"/>
        </w:rPr>
        <w:t>l</w:t>
      </w:r>
      <w:r w:rsidRPr="00D52887">
        <w:rPr>
          <w:sz w:val="24"/>
          <w:szCs w:val="24"/>
        </w:rPr>
        <w:t>e retribuzioni dei dirigenti, con specifica evidenza sulle componenti variabili legate alla valutazione di risultato raggiunto;</w:t>
      </w:r>
    </w:p>
    <w:p w:rsidR="00664F77" w:rsidRPr="00D52887" w:rsidRDefault="00664F77" w:rsidP="004F0BCB">
      <w:pPr>
        <w:pStyle w:val="Paragrafoelenco"/>
        <w:numPr>
          <w:ilvl w:val="0"/>
          <w:numId w:val="1"/>
        </w:numPr>
        <w:jc w:val="both"/>
        <w:rPr>
          <w:sz w:val="24"/>
          <w:szCs w:val="24"/>
        </w:rPr>
      </w:pPr>
      <w:r>
        <w:rPr>
          <w:sz w:val="24"/>
          <w:szCs w:val="24"/>
        </w:rPr>
        <w:t>i</w:t>
      </w:r>
      <w:r w:rsidRPr="00D52887">
        <w:rPr>
          <w:sz w:val="24"/>
          <w:szCs w:val="24"/>
        </w:rPr>
        <w:t xml:space="preserve"> curricula </w:t>
      </w:r>
      <w:r>
        <w:rPr>
          <w:sz w:val="24"/>
          <w:szCs w:val="24"/>
        </w:rPr>
        <w:t xml:space="preserve">vitae </w:t>
      </w:r>
      <w:r w:rsidRPr="00D52887">
        <w:rPr>
          <w:sz w:val="24"/>
          <w:szCs w:val="24"/>
        </w:rPr>
        <w:t>e le retribuzioni di coloro che rivestono incarichi di indirizzo politico-amministrativo;</w:t>
      </w:r>
    </w:p>
    <w:p w:rsidR="00664F77" w:rsidRPr="00D52887" w:rsidRDefault="00664F77" w:rsidP="004F0BCB">
      <w:pPr>
        <w:pStyle w:val="Paragrafoelenco"/>
        <w:numPr>
          <w:ilvl w:val="0"/>
          <w:numId w:val="1"/>
        </w:numPr>
        <w:jc w:val="both"/>
        <w:rPr>
          <w:sz w:val="24"/>
          <w:szCs w:val="24"/>
        </w:rPr>
      </w:pPr>
      <w:r>
        <w:rPr>
          <w:sz w:val="24"/>
          <w:szCs w:val="24"/>
        </w:rPr>
        <w:t>g</w:t>
      </w:r>
      <w:r w:rsidRPr="00D52887">
        <w:rPr>
          <w:sz w:val="24"/>
          <w:szCs w:val="24"/>
        </w:rPr>
        <w:t>li incarichi, retribuiti e non, conferiti a dipendenti pubblici e a soggetti privati.</w:t>
      </w:r>
    </w:p>
    <w:p w:rsidR="00664F77" w:rsidRDefault="00664F77" w:rsidP="00FA2E9E">
      <w:pPr>
        <w:jc w:val="both"/>
        <w:rPr>
          <w:sz w:val="24"/>
          <w:szCs w:val="24"/>
        </w:rPr>
      </w:pPr>
      <w:r>
        <w:rPr>
          <w:sz w:val="24"/>
          <w:szCs w:val="24"/>
        </w:rPr>
        <w:lastRenderedPageBreak/>
        <w:t xml:space="preserve">Se tale è la normativa, l’applicazione pratica del sistema premiale voluto dall’ex Ministro Brunetta ha sollevato notevoli perplessità, sia in ragione delle sue caratteristiche intrinseche sia per le difficoltà di coordinamento </w:t>
      </w:r>
      <w:r w:rsidRPr="00D52887">
        <w:rPr>
          <w:sz w:val="24"/>
          <w:szCs w:val="24"/>
        </w:rPr>
        <w:t>con le misure</w:t>
      </w:r>
      <w:r>
        <w:rPr>
          <w:sz w:val="24"/>
          <w:szCs w:val="24"/>
        </w:rPr>
        <w:t xml:space="preserve"> economiche</w:t>
      </w:r>
      <w:r w:rsidRPr="00D52887">
        <w:rPr>
          <w:sz w:val="24"/>
          <w:szCs w:val="24"/>
        </w:rPr>
        <w:t xml:space="preserve"> restr</w:t>
      </w:r>
      <w:r>
        <w:rPr>
          <w:sz w:val="24"/>
          <w:szCs w:val="24"/>
        </w:rPr>
        <w:t>it</w:t>
      </w:r>
      <w:r w:rsidRPr="00D52887">
        <w:rPr>
          <w:sz w:val="24"/>
          <w:szCs w:val="24"/>
        </w:rPr>
        <w:t xml:space="preserve">tive </w:t>
      </w:r>
      <w:r>
        <w:rPr>
          <w:sz w:val="24"/>
          <w:szCs w:val="24"/>
        </w:rPr>
        <w:t xml:space="preserve">adottate nel 2010. </w:t>
      </w:r>
    </w:p>
    <w:p w:rsidR="00664F77" w:rsidRDefault="00664F77" w:rsidP="00FA2E9E">
      <w:pPr>
        <w:jc w:val="both"/>
        <w:rPr>
          <w:sz w:val="24"/>
          <w:szCs w:val="24"/>
        </w:rPr>
      </w:pPr>
      <w:r>
        <w:rPr>
          <w:sz w:val="24"/>
          <w:szCs w:val="24"/>
        </w:rPr>
        <w:t>In primo luogo, da più parti è stato sottolineato il peso eccessivo data alla valutazione individuale rispetto alla valutazione della performance delle strutture amministrative. Secondo alcuni autorevoli pareri sarebbe stato più opportuno concentrarsi, almeno nella fase iniziale della riforma, sulla valutazione della performance di ciascuna amministrazione, applicando il meccanismo del 25-50-25 alle amministrazioni o agli uffici, piuttosto che ai singoli dipendenti.</w:t>
      </w:r>
    </w:p>
    <w:p w:rsidR="00664F77" w:rsidRDefault="00664F77" w:rsidP="00FA2E9E">
      <w:pPr>
        <w:jc w:val="both"/>
        <w:rPr>
          <w:sz w:val="24"/>
          <w:szCs w:val="24"/>
        </w:rPr>
      </w:pPr>
      <w:r>
        <w:rPr>
          <w:sz w:val="24"/>
          <w:szCs w:val="24"/>
        </w:rPr>
        <w:t xml:space="preserve">È stato inoltre fatto notare come la rigidità del </w:t>
      </w:r>
      <w:r>
        <w:rPr>
          <w:i/>
          <w:iCs/>
          <w:sz w:val="24"/>
          <w:szCs w:val="24"/>
        </w:rPr>
        <w:t>ranking</w:t>
      </w:r>
      <w:r>
        <w:rPr>
          <w:sz w:val="24"/>
          <w:szCs w:val="24"/>
        </w:rPr>
        <w:t xml:space="preserve"> nelle valutazioni individuali (il 25-50-25) e le difficoltà di applicazione abbiano indotto alcune tra le amministrazioni più rilevanti, quali la Presidenza del Consiglio dei Ministri e il Ministero dell’Economia,a sottrarsi al campo di applicazione del  D. Lgs. n. 150/2009. Una tale circostanza va inevitabilmente a ledere la credibilità del sistema e crea l’incentivo per altre amministrazioni a non recepire il modello di valutazione proposto, con il paradosso che mentre la normativa previgente (D. Lgs. 286/1999) si applicava indistintamente a tutte le amministrazioni, la più recente riforma è accompagnata da notevoli eccezioni.</w:t>
      </w:r>
    </w:p>
    <w:p w:rsidR="00664F77" w:rsidRDefault="00664F77" w:rsidP="00FA2E9E">
      <w:pPr>
        <w:jc w:val="both"/>
        <w:rPr>
          <w:sz w:val="24"/>
          <w:szCs w:val="24"/>
        </w:rPr>
      </w:pPr>
      <w:r>
        <w:rPr>
          <w:sz w:val="24"/>
          <w:szCs w:val="24"/>
        </w:rPr>
        <w:t xml:space="preserve">Da ultimo, la carenza di fondi per premiare i più meritevoli rende di fatto inconsistente il sistema di valutazione della performance. Il decreto-legge 78/2010 che, in funzione anti-crisi, ha introdotto una serie di misure tese al contenimento della spesa pubblica, ha disposto anche il blocco fino al 2013 della contrattazione collettiva nel pubblico impiego. Sulla base di una tale misura nessuno può percepire un reddito superiore a quello percepito nel 2010, circostanza che finisce con il trasformare il sistema di valutazione in un mero esercizio di stile. Senza dimenticare l’impatto della prassi dei “tagli lineari”, che possono ben definirsi il contrario del governo selettivo della spesa fondato sulla valutazione. Parimenti, il sistema di valutazione non può essere applicato alla carriera, dal momento che fino al 2014 non sono consentiti ulteriori avanzamenti, se non quelli già stabiliti nel 2010. </w:t>
      </w:r>
    </w:p>
    <w:p w:rsidR="00664F77" w:rsidRDefault="00664F77" w:rsidP="00B27706">
      <w:pPr>
        <w:jc w:val="both"/>
        <w:rPr>
          <w:sz w:val="24"/>
          <w:szCs w:val="24"/>
        </w:rPr>
      </w:pPr>
      <w:r>
        <w:rPr>
          <w:sz w:val="24"/>
          <w:szCs w:val="24"/>
        </w:rPr>
        <w:t>Alla luce di quanto sopra, anche presso altre amministrazioni è stata evidenziata con crescente insistenza la necessità di un intervento sospensivo dell’applicazione del D. Lgs. 150/2009. Così è avvenuto da ultimo anche nei Ministeri delle Infrastrutture e della Difesa, dove, viste le difficoltà applicative manifestatesi in relazione alle specificità dei dicasteri in oggetto, il procedimento di valutazione 2011 è stato temporaneamente sospeso.</w:t>
      </w:r>
    </w:p>
    <w:p w:rsidR="00664F77" w:rsidRPr="00F44F57" w:rsidRDefault="00664F77" w:rsidP="00B27706">
      <w:pPr>
        <w:jc w:val="both"/>
        <w:rPr>
          <w:sz w:val="24"/>
          <w:szCs w:val="24"/>
        </w:rPr>
      </w:pPr>
      <w:r>
        <w:rPr>
          <w:sz w:val="24"/>
          <w:szCs w:val="24"/>
        </w:rPr>
        <w:t>Pertanto, a parere degli scriventi, il problema non può che risolversi attraverso un’iniziativa di carattere politico finalizzata all’ottenimento di una sua totale abrogazione per via legislativa e comunque, in attesa di ciò, di una immediata sospensione dei termini di applicazione del D. Lgs. 150/2009, così come peraltro già richiesto e ottenuto da alcune amministrazioni, con l’obiettivo dichiarato di riformare il sistema pubblico analizzandone i contenuti, gli sviluppi e le ricadute in termini di produttività e miglioramento dei servizi sulla base di una più approfondita conoscenza della materia oggetto di riforma.</w:t>
      </w:r>
    </w:p>
    <w:p w:rsidR="00664F77" w:rsidRDefault="00664F77" w:rsidP="00B27706">
      <w:pPr>
        <w:jc w:val="both"/>
        <w:rPr>
          <w:sz w:val="24"/>
          <w:szCs w:val="24"/>
        </w:rPr>
      </w:pPr>
      <w:r>
        <w:rPr>
          <w:sz w:val="24"/>
          <w:szCs w:val="24"/>
        </w:rPr>
        <w:lastRenderedPageBreak/>
        <w:t xml:space="preserve">Tutto ciò, ovviamente, tenendo presente i continui tagli delle dotazioni organiche, cui sono soggette le amministrazioni centrali, nonché il blocco dei rinnovi contrattuali, che nel tempo hanno creato le condizioni secondo le quali in molte amministrazioni vengono mantenuti elevati standard di produttività con un numero sempre inferiore di risorse umane a retribuzioni “congelate” se non, in alcuni casi, inferiori rispetto alla norma. </w:t>
      </w:r>
    </w:p>
    <w:p w:rsidR="00664F77" w:rsidRPr="00D55FCF" w:rsidRDefault="00664F77" w:rsidP="00B27706">
      <w:pPr>
        <w:jc w:val="both"/>
        <w:rPr>
          <w:sz w:val="16"/>
          <w:szCs w:val="16"/>
        </w:rPr>
      </w:pPr>
    </w:p>
    <w:p w:rsidR="00664F77" w:rsidRPr="00D52887" w:rsidRDefault="00664F77" w:rsidP="007D0E7A">
      <w:pPr>
        <w:jc w:val="both"/>
        <w:rPr>
          <w:sz w:val="24"/>
          <w:szCs w:val="24"/>
        </w:rPr>
      </w:pPr>
      <w:r>
        <w:rPr>
          <w:sz w:val="24"/>
          <w:szCs w:val="24"/>
        </w:rPr>
        <w:t xml:space="preserve">    Alessio Mercanti                                                                                                              Cinzia Nannipieri</w:t>
      </w:r>
    </w:p>
    <w:sectPr w:rsidR="00664F77" w:rsidRPr="00D52887" w:rsidSect="00AB3199">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50C" w:rsidRDefault="00C9350C" w:rsidP="00597571">
      <w:pPr>
        <w:spacing w:after="0" w:line="240" w:lineRule="auto"/>
      </w:pPr>
      <w:r>
        <w:separator/>
      </w:r>
    </w:p>
  </w:endnote>
  <w:endnote w:type="continuationSeparator" w:id="0">
    <w:p w:rsidR="00C9350C" w:rsidRDefault="00C9350C" w:rsidP="00597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F77" w:rsidRDefault="00C9350C">
    <w:pPr>
      <w:pStyle w:val="Pidipagina"/>
      <w:jc w:val="center"/>
    </w:pPr>
    <w:r>
      <w:fldChar w:fldCharType="begin"/>
    </w:r>
    <w:r>
      <w:instrText xml:space="preserve"> PAGE   \* MERGEFORMAT </w:instrText>
    </w:r>
    <w:r>
      <w:fldChar w:fldCharType="separate"/>
    </w:r>
    <w:r w:rsidR="00D27EAA">
      <w:rPr>
        <w:noProof/>
      </w:rPr>
      <w:t>2</w:t>
    </w:r>
    <w:r>
      <w:rPr>
        <w:noProof/>
      </w:rPr>
      <w:fldChar w:fldCharType="end"/>
    </w:r>
  </w:p>
  <w:p w:rsidR="00664F77" w:rsidRDefault="00664F7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50C" w:rsidRDefault="00C9350C" w:rsidP="00597571">
      <w:pPr>
        <w:spacing w:after="0" w:line="240" w:lineRule="auto"/>
      </w:pPr>
      <w:r>
        <w:separator/>
      </w:r>
    </w:p>
  </w:footnote>
  <w:footnote w:type="continuationSeparator" w:id="0">
    <w:p w:rsidR="00C9350C" w:rsidRDefault="00C9350C" w:rsidP="005975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90AB8"/>
    <w:multiLevelType w:val="hybridMultilevel"/>
    <w:tmpl w:val="7272F866"/>
    <w:lvl w:ilvl="0" w:tplc="164CD0F2">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EBC"/>
    <w:rsid w:val="000778B7"/>
    <w:rsid w:val="00126896"/>
    <w:rsid w:val="001F4AB9"/>
    <w:rsid w:val="001F6EBC"/>
    <w:rsid w:val="00205502"/>
    <w:rsid w:val="002844D7"/>
    <w:rsid w:val="00285358"/>
    <w:rsid w:val="002F6A4B"/>
    <w:rsid w:val="003019B6"/>
    <w:rsid w:val="003565D0"/>
    <w:rsid w:val="0035769A"/>
    <w:rsid w:val="0040589F"/>
    <w:rsid w:val="004A18CD"/>
    <w:rsid w:val="004D0C4E"/>
    <w:rsid w:val="004F0BCB"/>
    <w:rsid w:val="00511A55"/>
    <w:rsid w:val="00526295"/>
    <w:rsid w:val="005312EF"/>
    <w:rsid w:val="005872C1"/>
    <w:rsid w:val="00597571"/>
    <w:rsid w:val="005E1BCB"/>
    <w:rsid w:val="00662EE7"/>
    <w:rsid w:val="00664F77"/>
    <w:rsid w:val="00681C34"/>
    <w:rsid w:val="00682BEC"/>
    <w:rsid w:val="006C405F"/>
    <w:rsid w:val="006F44CB"/>
    <w:rsid w:val="007B5E74"/>
    <w:rsid w:val="007D0E7A"/>
    <w:rsid w:val="007D4AF8"/>
    <w:rsid w:val="007E5227"/>
    <w:rsid w:val="00811584"/>
    <w:rsid w:val="008249AA"/>
    <w:rsid w:val="00833D28"/>
    <w:rsid w:val="00844072"/>
    <w:rsid w:val="00844EBA"/>
    <w:rsid w:val="008461FC"/>
    <w:rsid w:val="00882B31"/>
    <w:rsid w:val="008A7314"/>
    <w:rsid w:val="008D5CA3"/>
    <w:rsid w:val="00963CC9"/>
    <w:rsid w:val="009F5068"/>
    <w:rsid w:val="00A11010"/>
    <w:rsid w:val="00A170D5"/>
    <w:rsid w:val="00A24FC6"/>
    <w:rsid w:val="00AB3199"/>
    <w:rsid w:val="00B27706"/>
    <w:rsid w:val="00B36DA1"/>
    <w:rsid w:val="00B51313"/>
    <w:rsid w:val="00B56CFB"/>
    <w:rsid w:val="00B85194"/>
    <w:rsid w:val="00BC5CDC"/>
    <w:rsid w:val="00BF2512"/>
    <w:rsid w:val="00C00D6D"/>
    <w:rsid w:val="00C3369A"/>
    <w:rsid w:val="00C40821"/>
    <w:rsid w:val="00C40A8C"/>
    <w:rsid w:val="00C9350C"/>
    <w:rsid w:val="00CC49E6"/>
    <w:rsid w:val="00CC6037"/>
    <w:rsid w:val="00CD6609"/>
    <w:rsid w:val="00CF3FCA"/>
    <w:rsid w:val="00D01145"/>
    <w:rsid w:val="00D27EAA"/>
    <w:rsid w:val="00D52887"/>
    <w:rsid w:val="00D55FCF"/>
    <w:rsid w:val="00D57510"/>
    <w:rsid w:val="00D9126B"/>
    <w:rsid w:val="00DA1E14"/>
    <w:rsid w:val="00E30574"/>
    <w:rsid w:val="00E71564"/>
    <w:rsid w:val="00E84DAB"/>
    <w:rsid w:val="00EC2EE3"/>
    <w:rsid w:val="00F44F57"/>
    <w:rsid w:val="00F619F1"/>
    <w:rsid w:val="00F73EFB"/>
    <w:rsid w:val="00FA2E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44D7"/>
    <w:pPr>
      <w:spacing w:after="200" w:line="276" w:lineRule="auto"/>
    </w:pPr>
    <w:rPr>
      <w:rFonts w:cs="Calibri"/>
    </w:rPr>
  </w:style>
  <w:style w:type="paragraph" w:styleId="Titolo3">
    <w:name w:val="heading 3"/>
    <w:basedOn w:val="Normale"/>
    <w:link w:val="Titolo3Carattere"/>
    <w:uiPriority w:val="99"/>
    <w:qFormat/>
    <w:rsid w:val="001F6EBC"/>
    <w:pPr>
      <w:spacing w:before="100" w:beforeAutospacing="1" w:after="100" w:afterAutospacing="1" w:line="240" w:lineRule="auto"/>
      <w:jc w:val="center"/>
      <w:outlineLvl w:val="2"/>
    </w:pPr>
    <w:rPr>
      <w:color w:val="565656"/>
      <w:sz w:val="29"/>
      <w:szCs w:val="2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locked/>
    <w:rsid w:val="001F6EBC"/>
    <w:rPr>
      <w:rFonts w:ascii="Times New Roman" w:hAnsi="Times New Roman" w:cs="Times New Roman"/>
      <w:color w:val="565656"/>
      <w:sz w:val="29"/>
      <w:szCs w:val="29"/>
    </w:rPr>
  </w:style>
  <w:style w:type="character" w:styleId="Collegamentoipertestuale">
    <w:name w:val="Hyperlink"/>
    <w:basedOn w:val="Carpredefinitoparagrafo"/>
    <w:uiPriority w:val="99"/>
    <w:rsid w:val="001F6EBC"/>
    <w:rPr>
      <w:color w:val="0000FF"/>
      <w:u w:val="single"/>
    </w:rPr>
  </w:style>
  <w:style w:type="paragraph" w:styleId="Paragrafoelenco">
    <w:name w:val="List Paragraph"/>
    <w:basedOn w:val="Normale"/>
    <w:uiPriority w:val="99"/>
    <w:qFormat/>
    <w:rsid w:val="00811584"/>
    <w:pPr>
      <w:ind w:left="720"/>
    </w:pPr>
  </w:style>
  <w:style w:type="paragraph" w:styleId="Intestazione">
    <w:name w:val="header"/>
    <w:basedOn w:val="Normale"/>
    <w:link w:val="IntestazioneCarattere"/>
    <w:uiPriority w:val="99"/>
    <w:semiHidden/>
    <w:rsid w:val="005975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597571"/>
  </w:style>
  <w:style w:type="paragraph" w:styleId="Pidipagina">
    <w:name w:val="footer"/>
    <w:basedOn w:val="Normale"/>
    <w:link w:val="PidipaginaCarattere"/>
    <w:uiPriority w:val="99"/>
    <w:rsid w:val="005975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597571"/>
  </w:style>
  <w:style w:type="paragraph" w:styleId="Testofumetto">
    <w:name w:val="Balloon Text"/>
    <w:basedOn w:val="Normale"/>
    <w:link w:val="TestofumettoCarattere"/>
    <w:uiPriority w:val="99"/>
    <w:semiHidden/>
    <w:rsid w:val="00F619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F619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44D7"/>
    <w:pPr>
      <w:spacing w:after="200" w:line="276" w:lineRule="auto"/>
    </w:pPr>
    <w:rPr>
      <w:rFonts w:cs="Calibri"/>
    </w:rPr>
  </w:style>
  <w:style w:type="paragraph" w:styleId="Titolo3">
    <w:name w:val="heading 3"/>
    <w:basedOn w:val="Normale"/>
    <w:link w:val="Titolo3Carattere"/>
    <w:uiPriority w:val="99"/>
    <w:qFormat/>
    <w:rsid w:val="001F6EBC"/>
    <w:pPr>
      <w:spacing w:before="100" w:beforeAutospacing="1" w:after="100" w:afterAutospacing="1" w:line="240" w:lineRule="auto"/>
      <w:jc w:val="center"/>
      <w:outlineLvl w:val="2"/>
    </w:pPr>
    <w:rPr>
      <w:color w:val="565656"/>
      <w:sz w:val="29"/>
      <w:szCs w:val="2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locked/>
    <w:rsid w:val="001F6EBC"/>
    <w:rPr>
      <w:rFonts w:ascii="Times New Roman" w:hAnsi="Times New Roman" w:cs="Times New Roman"/>
      <w:color w:val="565656"/>
      <w:sz w:val="29"/>
      <w:szCs w:val="29"/>
    </w:rPr>
  </w:style>
  <w:style w:type="character" w:styleId="Collegamentoipertestuale">
    <w:name w:val="Hyperlink"/>
    <w:basedOn w:val="Carpredefinitoparagrafo"/>
    <w:uiPriority w:val="99"/>
    <w:rsid w:val="001F6EBC"/>
    <w:rPr>
      <w:color w:val="0000FF"/>
      <w:u w:val="single"/>
    </w:rPr>
  </w:style>
  <w:style w:type="paragraph" w:styleId="Paragrafoelenco">
    <w:name w:val="List Paragraph"/>
    <w:basedOn w:val="Normale"/>
    <w:uiPriority w:val="99"/>
    <w:qFormat/>
    <w:rsid w:val="00811584"/>
    <w:pPr>
      <w:ind w:left="720"/>
    </w:pPr>
  </w:style>
  <w:style w:type="paragraph" w:styleId="Intestazione">
    <w:name w:val="header"/>
    <w:basedOn w:val="Normale"/>
    <w:link w:val="IntestazioneCarattere"/>
    <w:uiPriority w:val="99"/>
    <w:semiHidden/>
    <w:rsid w:val="005975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597571"/>
  </w:style>
  <w:style w:type="paragraph" w:styleId="Pidipagina">
    <w:name w:val="footer"/>
    <w:basedOn w:val="Normale"/>
    <w:link w:val="PidipaginaCarattere"/>
    <w:uiPriority w:val="99"/>
    <w:rsid w:val="005975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597571"/>
  </w:style>
  <w:style w:type="paragraph" w:styleId="Testofumetto">
    <w:name w:val="Balloon Text"/>
    <w:basedOn w:val="Normale"/>
    <w:link w:val="TestofumettoCarattere"/>
    <w:uiPriority w:val="99"/>
    <w:semiHidden/>
    <w:rsid w:val="00F619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F619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232581">
      <w:marLeft w:val="0"/>
      <w:marRight w:val="0"/>
      <w:marTop w:val="0"/>
      <w:marBottom w:val="0"/>
      <w:divBdr>
        <w:top w:val="none" w:sz="0" w:space="0" w:color="auto"/>
        <w:left w:val="none" w:sz="0" w:space="0" w:color="auto"/>
        <w:bottom w:val="none" w:sz="0" w:space="0" w:color="auto"/>
        <w:right w:val="none" w:sz="0" w:space="0" w:color="auto"/>
      </w:divBdr>
      <w:divsChild>
        <w:div w:id="1339232584">
          <w:marLeft w:val="0"/>
          <w:marRight w:val="0"/>
          <w:marTop w:val="0"/>
          <w:marBottom w:val="0"/>
          <w:divBdr>
            <w:top w:val="none" w:sz="0" w:space="0" w:color="auto"/>
            <w:left w:val="none" w:sz="0" w:space="0" w:color="auto"/>
            <w:bottom w:val="none" w:sz="0" w:space="0" w:color="auto"/>
            <w:right w:val="none" w:sz="0" w:space="0" w:color="auto"/>
          </w:divBdr>
          <w:divsChild>
            <w:div w:id="1339232590">
              <w:marLeft w:val="0"/>
              <w:marRight w:val="0"/>
              <w:marTop w:val="0"/>
              <w:marBottom w:val="0"/>
              <w:divBdr>
                <w:top w:val="none" w:sz="0" w:space="0" w:color="auto"/>
                <w:left w:val="none" w:sz="0" w:space="0" w:color="auto"/>
                <w:bottom w:val="none" w:sz="0" w:space="0" w:color="auto"/>
                <w:right w:val="none" w:sz="0" w:space="0" w:color="auto"/>
              </w:divBdr>
              <w:divsChild>
                <w:div w:id="1339232587">
                  <w:marLeft w:val="0"/>
                  <w:marRight w:val="1"/>
                  <w:marTop w:val="0"/>
                  <w:marBottom w:val="0"/>
                  <w:divBdr>
                    <w:top w:val="none" w:sz="0" w:space="0" w:color="auto"/>
                    <w:left w:val="none" w:sz="0" w:space="0" w:color="auto"/>
                    <w:bottom w:val="none" w:sz="0" w:space="0" w:color="auto"/>
                    <w:right w:val="none" w:sz="0" w:space="0" w:color="auto"/>
                  </w:divBdr>
                  <w:divsChild>
                    <w:div w:id="1339232589">
                      <w:marLeft w:val="0"/>
                      <w:marRight w:val="0"/>
                      <w:marTop w:val="0"/>
                      <w:marBottom w:val="0"/>
                      <w:divBdr>
                        <w:top w:val="none" w:sz="0" w:space="0" w:color="auto"/>
                        <w:left w:val="none" w:sz="0" w:space="0" w:color="auto"/>
                        <w:bottom w:val="none" w:sz="0" w:space="0" w:color="auto"/>
                        <w:right w:val="none" w:sz="0" w:space="0" w:color="auto"/>
                      </w:divBdr>
                      <w:divsChild>
                        <w:div w:id="1339232595">
                          <w:marLeft w:val="0"/>
                          <w:marRight w:val="0"/>
                          <w:marTop w:val="0"/>
                          <w:marBottom w:val="0"/>
                          <w:divBdr>
                            <w:top w:val="none" w:sz="0" w:space="0" w:color="auto"/>
                            <w:left w:val="none" w:sz="0" w:space="0" w:color="auto"/>
                            <w:bottom w:val="none" w:sz="0" w:space="0" w:color="auto"/>
                            <w:right w:val="none" w:sz="0" w:space="0" w:color="auto"/>
                          </w:divBdr>
                          <w:divsChild>
                            <w:div w:id="1339232588">
                              <w:marLeft w:val="125"/>
                              <w:marRight w:val="125"/>
                              <w:marTop w:val="13"/>
                              <w:marBottom w:val="13"/>
                              <w:divBdr>
                                <w:top w:val="none" w:sz="0" w:space="0" w:color="auto"/>
                                <w:left w:val="none" w:sz="0" w:space="0" w:color="auto"/>
                                <w:bottom w:val="none" w:sz="0" w:space="0" w:color="auto"/>
                                <w:right w:val="none" w:sz="0" w:space="0" w:color="auto"/>
                              </w:divBdr>
                              <w:divsChild>
                                <w:div w:id="1339232582">
                                  <w:marLeft w:val="0"/>
                                  <w:marRight w:val="0"/>
                                  <w:marTop w:val="0"/>
                                  <w:marBottom w:val="0"/>
                                  <w:divBdr>
                                    <w:top w:val="none" w:sz="0" w:space="0" w:color="auto"/>
                                    <w:left w:val="none" w:sz="0" w:space="0" w:color="auto"/>
                                    <w:bottom w:val="none" w:sz="0" w:space="0" w:color="auto"/>
                                    <w:right w:val="none" w:sz="0" w:space="0" w:color="auto"/>
                                  </w:divBdr>
                                </w:div>
                                <w:div w:id="1339232583">
                                  <w:marLeft w:val="0"/>
                                  <w:marRight w:val="0"/>
                                  <w:marTop w:val="0"/>
                                  <w:marBottom w:val="0"/>
                                  <w:divBdr>
                                    <w:top w:val="none" w:sz="0" w:space="0" w:color="auto"/>
                                    <w:left w:val="none" w:sz="0" w:space="0" w:color="auto"/>
                                    <w:bottom w:val="none" w:sz="0" w:space="0" w:color="auto"/>
                                    <w:right w:val="none" w:sz="0" w:space="0" w:color="auto"/>
                                  </w:divBdr>
                                </w:div>
                                <w:div w:id="1339232585">
                                  <w:marLeft w:val="0"/>
                                  <w:marRight w:val="0"/>
                                  <w:marTop w:val="0"/>
                                  <w:marBottom w:val="0"/>
                                  <w:divBdr>
                                    <w:top w:val="none" w:sz="0" w:space="0" w:color="auto"/>
                                    <w:left w:val="none" w:sz="0" w:space="0" w:color="auto"/>
                                    <w:bottom w:val="none" w:sz="0" w:space="0" w:color="auto"/>
                                    <w:right w:val="none" w:sz="0" w:space="0" w:color="auto"/>
                                  </w:divBdr>
                                </w:div>
                                <w:div w:id="1339232586">
                                  <w:marLeft w:val="0"/>
                                  <w:marRight w:val="0"/>
                                  <w:marTop w:val="0"/>
                                  <w:marBottom w:val="0"/>
                                  <w:divBdr>
                                    <w:top w:val="none" w:sz="0" w:space="0" w:color="auto"/>
                                    <w:left w:val="none" w:sz="0" w:space="0" w:color="auto"/>
                                    <w:bottom w:val="none" w:sz="0" w:space="0" w:color="auto"/>
                                    <w:right w:val="none" w:sz="0" w:space="0" w:color="auto"/>
                                  </w:divBdr>
                                </w:div>
                                <w:div w:id="1339232591">
                                  <w:marLeft w:val="0"/>
                                  <w:marRight w:val="0"/>
                                  <w:marTop w:val="0"/>
                                  <w:marBottom w:val="0"/>
                                  <w:divBdr>
                                    <w:top w:val="none" w:sz="0" w:space="0" w:color="auto"/>
                                    <w:left w:val="none" w:sz="0" w:space="0" w:color="auto"/>
                                    <w:bottom w:val="none" w:sz="0" w:space="0" w:color="auto"/>
                                    <w:right w:val="none" w:sz="0" w:space="0" w:color="auto"/>
                                  </w:divBdr>
                                </w:div>
                                <w:div w:id="1339232592">
                                  <w:marLeft w:val="0"/>
                                  <w:marRight w:val="0"/>
                                  <w:marTop w:val="0"/>
                                  <w:marBottom w:val="0"/>
                                  <w:divBdr>
                                    <w:top w:val="none" w:sz="0" w:space="0" w:color="auto"/>
                                    <w:left w:val="none" w:sz="0" w:space="0" w:color="auto"/>
                                    <w:bottom w:val="none" w:sz="0" w:space="0" w:color="auto"/>
                                    <w:right w:val="none" w:sz="0" w:space="0" w:color="auto"/>
                                  </w:divBdr>
                                </w:div>
                                <w:div w:id="1339232593">
                                  <w:marLeft w:val="0"/>
                                  <w:marRight w:val="0"/>
                                  <w:marTop w:val="0"/>
                                  <w:marBottom w:val="0"/>
                                  <w:divBdr>
                                    <w:top w:val="none" w:sz="0" w:space="0" w:color="auto"/>
                                    <w:left w:val="none" w:sz="0" w:space="0" w:color="auto"/>
                                    <w:bottom w:val="none" w:sz="0" w:space="0" w:color="auto"/>
                                    <w:right w:val="none" w:sz="0" w:space="0" w:color="auto"/>
                                  </w:divBdr>
                                </w:div>
                                <w:div w:id="13392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2246</Words>
  <Characters>12808</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Your Company Name</Company>
  <LinksUpToDate>false</LinksUpToDate>
  <CharactersWithSpaces>15024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2012-03-12T16:54:00Z</dcterms:created>
  <dcterms:modified xsi:type="dcterms:W3CDTF">2012-03-12T16:54:00Z</dcterms:modified>
</cp:coreProperties>
</file>